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0FB3" w14:textId="77777777" w:rsidR="00337D64" w:rsidRPr="00337D64" w:rsidRDefault="00337D64" w:rsidP="00112C8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37D64">
        <w:rPr>
          <w:rFonts w:ascii="Arial" w:hAnsi="Arial" w:cs="Arial"/>
          <w:b/>
          <w:bCs/>
          <w:sz w:val="18"/>
          <w:szCs w:val="18"/>
        </w:rPr>
        <w:t>ARCHIVO GENERAL E HISTÓRICO DEL ESTADO DE TLAXCALA</w:t>
      </w:r>
    </w:p>
    <w:p w14:paraId="6D3CB386" w14:textId="1F9CA3D6"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14:paraId="27C880C0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69305C61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393E9B0E" w14:textId="270C11CC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El 19 de junio del 2023, se publica el decreto 215 en el Periódico Oficial del Estado de Tlaxcala, mismo que reforma y adiciona diversas disposiciones de la Ley de Archivos del Estado de Tlaxcala (LAET). Gracias a esto, el 1ro de enero del 2024 entra en funciones el Archivo General e </w:t>
      </w:r>
      <w:r>
        <w:rPr>
          <w:rFonts w:ascii="Arial" w:hAnsi="Arial" w:cs="Arial"/>
          <w:sz w:val="18"/>
          <w:szCs w:val="18"/>
        </w:rPr>
        <w:t>H</w:t>
      </w:r>
      <w:r w:rsidRPr="0010532C">
        <w:rPr>
          <w:rFonts w:ascii="Arial" w:hAnsi="Arial" w:cs="Arial"/>
          <w:sz w:val="18"/>
          <w:szCs w:val="18"/>
        </w:rPr>
        <w:t xml:space="preserve">istórico del Estado de Tlaxcala (AGHET), en este nuevo </w:t>
      </w:r>
      <w:r>
        <w:rPr>
          <w:rFonts w:ascii="Arial" w:hAnsi="Arial" w:cs="Arial"/>
          <w:sz w:val="18"/>
          <w:szCs w:val="18"/>
        </w:rPr>
        <w:t>O</w:t>
      </w:r>
      <w:r w:rsidRPr="0010532C">
        <w:rPr>
          <w:rFonts w:ascii="Arial" w:hAnsi="Arial" w:cs="Arial"/>
          <w:sz w:val="18"/>
          <w:szCs w:val="18"/>
        </w:rPr>
        <w:t xml:space="preserve">rganismo </w:t>
      </w:r>
      <w:r>
        <w:rPr>
          <w:rFonts w:ascii="Arial" w:hAnsi="Arial" w:cs="Arial"/>
          <w:sz w:val="18"/>
          <w:szCs w:val="18"/>
        </w:rPr>
        <w:t>D</w:t>
      </w:r>
      <w:r w:rsidRPr="0010532C">
        <w:rPr>
          <w:rFonts w:ascii="Arial" w:hAnsi="Arial" w:cs="Arial"/>
          <w:sz w:val="18"/>
          <w:szCs w:val="18"/>
        </w:rPr>
        <w:t xml:space="preserve">esconcentrado convergen dos instituciones: El </w:t>
      </w:r>
      <w:r>
        <w:rPr>
          <w:rFonts w:ascii="Arial" w:hAnsi="Arial" w:cs="Arial"/>
          <w:sz w:val="18"/>
          <w:szCs w:val="18"/>
        </w:rPr>
        <w:t>A</w:t>
      </w:r>
      <w:r w:rsidRPr="0010532C">
        <w:rPr>
          <w:rFonts w:ascii="Arial" w:hAnsi="Arial" w:cs="Arial"/>
          <w:sz w:val="18"/>
          <w:szCs w:val="18"/>
        </w:rPr>
        <w:t xml:space="preserve">rchivo </w:t>
      </w:r>
      <w:r>
        <w:rPr>
          <w:rFonts w:ascii="Arial" w:hAnsi="Arial" w:cs="Arial"/>
          <w:sz w:val="18"/>
          <w:szCs w:val="18"/>
        </w:rPr>
        <w:t>H</w:t>
      </w:r>
      <w:r w:rsidRPr="0010532C">
        <w:rPr>
          <w:rFonts w:ascii="Arial" w:hAnsi="Arial" w:cs="Arial"/>
          <w:sz w:val="18"/>
          <w:szCs w:val="18"/>
        </w:rPr>
        <w:t xml:space="preserve">istórico, que anteriormente estaba adscrito a la Oficialía </w:t>
      </w:r>
      <w:r>
        <w:rPr>
          <w:rFonts w:ascii="Arial" w:hAnsi="Arial" w:cs="Arial"/>
          <w:sz w:val="18"/>
          <w:szCs w:val="18"/>
        </w:rPr>
        <w:t>M</w:t>
      </w:r>
      <w:r w:rsidRPr="0010532C">
        <w:rPr>
          <w:rFonts w:ascii="Arial" w:hAnsi="Arial" w:cs="Arial"/>
          <w:sz w:val="18"/>
          <w:szCs w:val="18"/>
        </w:rPr>
        <w:t>ayor de Gobierno y el Archivo General que anteriormente estaba bajo la administración de la Secretar</w:t>
      </w:r>
      <w:r>
        <w:rPr>
          <w:rFonts w:ascii="Arial" w:hAnsi="Arial" w:cs="Arial"/>
          <w:sz w:val="18"/>
          <w:szCs w:val="18"/>
        </w:rPr>
        <w:t>í</w:t>
      </w:r>
      <w:r w:rsidRPr="0010532C">
        <w:rPr>
          <w:rFonts w:ascii="Arial" w:hAnsi="Arial" w:cs="Arial"/>
          <w:sz w:val="18"/>
          <w:szCs w:val="18"/>
        </w:rPr>
        <w:t>a de la Función P</w:t>
      </w:r>
      <w:r>
        <w:rPr>
          <w:rFonts w:ascii="Arial" w:hAnsi="Arial" w:cs="Arial"/>
          <w:sz w:val="18"/>
          <w:szCs w:val="18"/>
        </w:rPr>
        <w:t>ú</w:t>
      </w:r>
      <w:r w:rsidRPr="0010532C">
        <w:rPr>
          <w:rFonts w:ascii="Arial" w:hAnsi="Arial" w:cs="Arial"/>
          <w:sz w:val="18"/>
          <w:szCs w:val="18"/>
        </w:rPr>
        <w:t>blica (antes Contraloría del Ejecutivo).</w:t>
      </w:r>
    </w:p>
    <w:p w14:paraId="5E727312" w14:textId="2E66CFCC" w:rsidR="0010532C" w:rsidRP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 </w:t>
      </w:r>
    </w:p>
    <w:p w14:paraId="67B55A45" w14:textId="4FDC23D3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 xml:space="preserve">Este nuevo organismo garante en materia de archivos para el </w:t>
      </w:r>
      <w:r>
        <w:rPr>
          <w:rFonts w:ascii="Arial" w:hAnsi="Arial" w:cs="Arial"/>
          <w:sz w:val="18"/>
          <w:szCs w:val="18"/>
        </w:rPr>
        <w:t>E</w:t>
      </w:r>
      <w:r w:rsidRPr="0010532C">
        <w:rPr>
          <w:rFonts w:ascii="Arial" w:hAnsi="Arial" w:cs="Arial"/>
          <w:sz w:val="18"/>
          <w:szCs w:val="18"/>
        </w:rPr>
        <w:t>stado de Tlaxcala, entre otras cosas, tiene por objeto fomentar el desarrollo archivístico del estado,</w:t>
      </w:r>
      <w:r w:rsidR="004F542F">
        <w:rPr>
          <w:rFonts w:ascii="Arial" w:hAnsi="Arial" w:cs="Arial"/>
          <w:sz w:val="18"/>
          <w:szCs w:val="18"/>
        </w:rPr>
        <w:t xml:space="preserve"> </w:t>
      </w:r>
      <w:r w:rsidR="004F542F" w:rsidRPr="004F542F">
        <w:rPr>
          <w:rFonts w:ascii="Arial" w:hAnsi="Arial" w:cs="Arial"/>
          <w:sz w:val="18"/>
          <w:szCs w:val="18"/>
        </w:rPr>
        <w:t>como se establece en el Art. 97 de la Ley de Archivos del Estado de Tlaxcala</w:t>
      </w:r>
      <w:r w:rsidR="004F542F">
        <w:rPr>
          <w:rFonts w:ascii="Arial" w:hAnsi="Arial" w:cs="Arial"/>
          <w:sz w:val="18"/>
          <w:szCs w:val="18"/>
        </w:rPr>
        <w:t>,</w:t>
      </w:r>
      <w:r w:rsidRPr="0010532C">
        <w:rPr>
          <w:rFonts w:ascii="Arial" w:hAnsi="Arial" w:cs="Arial"/>
          <w:sz w:val="18"/>
          <w:szCs w:val="18"/>
        </w:rPr>
        <w:t xml:space="preserve"> trabajando de la mano con los sujetos obligados que define la misma ley local en su artículo 4to.</w:t>
      </w:r>
    </w:p>
    <w:p w14:paraId="559C18E5" w14:textId="77777777" w:rsidR="0010532C" w:rsidRP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54F603" w14:textId="6129B23D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>Es así, qu</w:t>
      </w:r>
      <w:r>
        <w:rPr>
          <w:rFonts w:ascii="Arial" w:hAnsi="Arial" w:cs="Arial"/>
          <w:sz w:val="18"/>
          <w:szCs w:val="18"/>
        </w:rPr>
        <w:t>é</w:t>
      </w:r>
      <w:r w:rsidRPr="0010532C">
        <w:rPr>
          <w:rFonts w:ascii="Arial" w:hAnsi="Arial" w:cs="Arial"/>
          <w:sz w:val="18"/>
          <w:szCs w:val="18"/>
        </w:rPr>
        <w:t xml:space="preserve"> de enero a </w:t>
      </w:r>
      <w:r w:rsidR="004F542F">
        <w:rPr>
          <w:rFonts w:ascii="Arial" w:hAnsi="Arial" w:cs="Arial"/>
          <w:sz w:val="18"/>
          <w:szCs w:val="18"/>
        </w:rPr>
        <w:t>diciembre</w:t>
      </w:r>
      <w:r w:rsidRPr="0010532C">
        <w:rPr>
          <w:rFonts w:ascii="Arial" w:hAnsi="Arial" w:cs="Arial"/>
          <w:sz w:val="18"/>
          <w:szCs w:val="18"/>
        </w:rPr>
        <w:t xml:space="preserve"> del presente año, en el Departamento de Desarrollo Archivístico Estatal del AGHET, </w:t>
      </w:r>
      <w:r w:rsidR="00964359">
        <w:rPr>
          <w:rFonts w:ascii="Arial" w:hAnsi="Arial" w:cs="Arial"/>
          <w:sz w:val="18"/>
          <w:szCs w:val="18"/>
        </w:rPr>
        <w:t>en apego a los indicadores programados previamente, se emprendieron las acciones</w:t>
      </w:r>
      <w:r w:rsidRPr="0010532C">
        <w:rPr>
          <w:rFonts w:ascii="Arial" w:hAnsi="Arial" w:cs="Arial"/>
          <w:sz w:val="18"/>
          <w:szCs w:val="18"/>
        </w:rPr>
        <w:t xml:space="preserve"> siguientes:</w:t>
      </w:r>
    </w:p>
    <w:p w14:paraId="012615C4" w14:textId="77777777" w:rsidR="0010532C" w:rsidRP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8436CD" w14:textId="7514E325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532C">
        <w:rPr>
          <w:rFonts w:ascii="Arial" w:hAnsi="Arial" w:cs="Arial"/>
          <w:sz w:val="18"/>
          <w:szCs w:val="18"/>
        </w:rPr>
        <w:t>Se han impartido poco m</w:t>
      </w:r>
      <w:r>
        <w:rPr>
          <w:rFonts w:ascii="Arial" w:hAnsi="Arial" w:cs="Arial"/>
          <w:sz w:val="18"/>
          <w:szCs w:val="18"/>
        </w:rPr>
        <w:t>á</w:t>
      </w:r>
      <w:r w:rsidRPr="0010532C">
        <w:rPr>
          <w:rFonts w:ascii="Arial" w:hAnsi="Arial" w:cs="Arial"/>
          <w:sz w:val="18"/>
          <w:szCs w:val="18"/>
        </w:rPr>
        <w:t xml:space="preserve">s de </w:t>
      </w:r>
      <w:r w:rsidR="00964359">
        <w:rPr>
          <w:rFonts w:ascii="Arial" w:hAnsi="Arial" w:cs="Arial"/>
          <w:sz w:val="18"/>
          <w:szCs w:val="18"/>
        </w:rPr>
        <w:t>73</w:t>
      </w:r>
      <w:r w:rsidRPr="0010532C">
        <w:rPr>
          <w:rFonts w:ascii="Arial" w:hAnsi="Arial" w:cs="Arial"/>
          <w:sz w:val="18"/>
          <w:szCs w:val="18"/>
        </w:rPr>
        <w:t xml:space="preserve"> capacitaciones a sujetos obligados en materia de archivo, entre ellos, </w:t>
      </w:r>
      <w:r>
        <w:rPr>
          <w:rFonts w:ascii="Arial" w:hAnsi="Arial" w:cs="Arial"/>
          <w:sz w:val="18"/>
          <w:szCs w:val="18"/>
        </w:rPr>
        <w:t>dos</w:t>
      </w:r>
      <w:r w:rsidRPr="0010532C">
        <w:rPr>
          <w:rFonts w:ascii="Arial" w:hAnsi="Arial" w:cs="Arial"/>
          <w:sz w:val="18"/>
          <w:szCs w:val="18"/>
        </w:rPr>
        <w:t xml:space="preserve"> capacitaciones masivas presenciales y un taller virtual en coordinación con el Archivo General de la Nación. Se han atendido poco más de </w:t>
      </w:r>
      <w:r w:rsidR="00964359">
        <w:rPr>
          <w:rFonts w:ascii="Arial" w:hAnsi="Arial" w:cs="Arial"/>
          <w:sz w:val="18"/>
          <w:szCs w:val="18"/>
        </w:rPr>
        <w:t>23</w:t>
      </w:r>
      <w:r w:rsidRPr="0010532C">
        <w:rPr>
          <w:rFonts w:ascii="Arial" w:hAnsi="Arial" w:cs="Arial"/>
          <w:sz w:val="18"/>
          <w:szCs w:val="18"/>
        </w:rPr>
        <w:t xml:space="preserve"> solicitudes de préstamo de documentos o expedientes en resguardo del Archivo General que bajo transferencia primaria han remitido diversas instituciones. Así mismo, se han recibido al menos </w:t>
      </w:r>
      <w:r w:rsidR="00964359">
        <w:rPr>
          <w:rFonts w:ascii="Arial" w:hAnsi="Arial" w:cs="Arial"/>
          <w:sz w:val="18"/>
          <w:szCs w:val="18"/>
        </w:rPr>
        <w:t>33</w:t>
      </w:r>
      <w:r w:rsidRPr="0010532C">
        <w:rPr>
          <w:rFonts w:ascii="Arial" w:hAnsi="Arial" w:cs="Arial"/>
          <w:sz w:val="18"/>
          <w:szCs w:val="18"/>
        </w:rPr>
        <w:t xml:space="preserve"> transferencias primarias, dos de sujetos obligados pertenecientes al poder ejecutivo</w:t>
      </w:r>
      <w:r w:rsidR="00964359">
        <w:rPr>
          <w:rFonts w:ascii="Arial" w:hAnsi="Arial" w:cs="Arial"/>
          <w:sz w:val="18"/>
          <w:szCs w:val="18"/>
        </w:rPr>
        <w:t xml:space="preserve">, </w:t>
      </w:r>
      <w:r w:rsidRPr="0010532C">
        <w:rPr>
          <w:rFonts w:ascii="Arial" w:hAnsi="Arial" w:cs="Arial"/>
          <w:sz w:val="18"/>
          <w:szCs w:val="18"/>
        </w:rPr>
        <w:t>24 correspondientes a actas de cabildo de diversos ayuntamientos del estado</w:t>
      </w:r>
      <w:r w:rsidR="00964359">
        <w:rPr>
          <w:rFonts w:ascii="Arial" w:hAnsi="Arial" w:cs="Arial"/>
          <w:sz w:val="18"/>
          <w:szCs w:val="18"/>
        </w:rPr>
        <w:t xml:space="preserve"> y 7 al Archivo General ubicado en </w:t>
      </w:r>
      <w:proofErr w:type="spellStart"/>
      <w:r w:rsidR="00964359">
        <w:rPr>
          <w:rFonts w:ascii="Arial" w:hAnsi="Arial" w:cs="Arial"/>
          <w:sz w:val="18"/>
          <w:szCs w:val="18"/>
        </w:rPr>
        <w:t>Teometitla</w:t>
      </w:r>
      <w:proofErr w:type="spellEnd"/>
      <w:r w:rsidRPr="0010532C">
        <w:rPr>
          <w:rFonts w:ascii="Arial" w:hAnsi="Arial" w:cs="Arial"/>
          <w:sz w:val="18"/>
          <w:szCs w:val="18"/>
        </w:rPr>
        <w:t>, dando con esto cumplimiento con lo dispuesto en el art. 34 fracción XV, y 37 de la Ley Municipal del Estado de Tlaxcala</w:t>
      </w:r>
      <w:r w:rsidR="00964359">
        <w:rPr>
          <w:rFonts w:ascii="Arial" w:hAnsi="Arial" w:cs="Arial"/>
          <w:sz w:val="18"/>
          <w:szCs w:val="18"/>
        </w:rPr>
        <w:t xml:space="preserve"> </w:t>
      </w:r>
      <w:r w:rsidR="00964359" w:rsidRPr="00964359">
        <w:rPr>
          <w:rFonts w:ascii="Arial" w:hAnsi="Arial" w:cs="Arial"/>
          <w:sz w:val="18"/>
          <w:szCs w:val="18"/>
        </w:rPr>
        <w:t>y una corresponde a la documentación del Instituto Tlaxcalteca para devolverle al Pueblo lo Robado por el decreto de su extinción. Y se realizó una promoción del programa anual de capacitación archivística entre los sujetos obligados.</w:t>
      </w:r>
    </w:p>
    <w:p w14:paraId="27E2CEC1" w14:textId="77777777" w:rsidR="0010532C" w:rsidRDefault="0010532C" w:rsidP="001053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BD11D3" w14:textId="61089F71" w:rsidR="00C54785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71CF">
        <w:rPr>
          <w:rFonts w:ascii="Arial" w:hAnsi="Arial" w:cs="Arial"/>
          <w:sz w:val="18"/>
          <w:szCs w:val="18"/>
        </w:rPr>
        <w:t>Por lo que respecta al Departamento del Archivo Histórico, el Objetivo principal de este departamento  es asegurar la conservación del patrimonio documental del estado de Tlaxcala; difundir el asombroso pasado de los antiguos tlaxcaltecas; permitir el acceso a la sociedad en general a la información de carácter histórico, que conlleve a darle su verdadero valor como fuente principal de investigación a nivel local, nacional e internacional; efectuar métodos y técnicas archivísticas vigentes que permitan la localización, integración, descripción y difusión de los acervos documentales; además de garantizar la preservación de la memoria del estado con el apoyo de soportes digitales que permitan conocer la grandeza de nuestro estado de Tlaxcala</w:t>
      </w:r>
      <w:r w:rsidR="00F359FC" w:rsidRPr="007E71CF">
        <w:rPr>
          <w:rFonts w:ascii="Arial" w:hAnsi="Arial" w:cs="Arial"/>
          <w:sz w:val="18"/>
          <w:szCs w:val="18"/>
        </w:rPr>
        <w:t>,</w:t>
      </w:r>
      <w:r w:rsidRPr="007E71CF">
        <w:rPr>
          <w:rFonts w:ascii="Arial" w:hAnsi="Arial" w:cs="Arial"/>
          <w:sz w:val="18"/>
          <w:szCs w:val="18"/>
        </w:rPr>
        <w:t xml:space="preserve"> es por ello que en el </w:t>
      </w:r>
      <w:r w:rsidR="00F359FC" w:rsidRPr="007E71CF">
        <w:rPr>
          <w:rFonts w:ascii="Arial" w:hAnsi="Arial" w:cs="Arial"/>
          <w:sz w:val="18"/>
          <w:szCs w:val="18"/>
        </w:rPr>
        <w:t>periodo de enero a septiembre de este ejercicio,</w:t>
      </w:r>
      <w:r w:rsidRPr="007E71CF">
        <w:rPr>
          <w:rFonts w:ascii="Arial" w:hAnsi="Arial" w:cs="Arial"/>
          <w:sz w:val="18"/>
          <w:szCs w:val="18"/>
        </w:rPr>
        <w:t xml:space="preserve"> se han realizado las siguientes acciones</w:t>
      </w:r>
      <w:r w:rsidR="00F359FC" w:rsidRPr="007E71CF">
        <w:rPr>
          <w:rFonts w:ascii="Arial" w:hAnsi="Arial" w:cs="Arial"/>
          <w:sz w:val="18"/>
          <w:szCs w:val="18"/>
        </w:rPr>
        <w:t>.</w:t>
      </w:r>
    </w:p>
    <w:p w14:paraId="0F28F7E2" w14:textId="77777777" w:rsidR="00F359FC" w:rsidRPr="00C54785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6178C2" w14:textId="77D27E25" w:rsidR="00C54785" w:rsidRDefault="007556EA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r</w:t>
      </w:r>
      <w:r w:rsidR="00C54785" w:rsidRPr="00C54785">
        <w:rPr>
          <w:rFonts w:ascii="Arial" w:hAnsi="Arial" w:cs="Arial"/>
          <w:sz w:val="18"/>
          <w:szCs w:val="18"/>
        </w:rPr>
        <w:t>ealiza</w:t>
      </w:r>
      <w:r>
        <w:rPr>
          <w:rFonts w:ascii="Arial" w:hAnsi="Arial" w:cs="Arial"/>
          <w:sz w:val="18"/>
          <w:szCs w:val="18"/>
        </w:rPr>
        <w:t>ron 2</w:t>
      </w:r>
      <w:r w:rsidR="00C54785" w:rsidRPr="00C54785">
        <w:rPr>
          <w:rFonts w:ascii="Arial" w:hAnsi="Arial" w:cs="Arial"/>
          <w:sz w:val="18"/>
          <w:szCs w:val="18"/>
        </w:rPr>
        <w:t>4,</w:t>
      </w:r>
      <w:r>
        <w:rPr>
          <w:rFonts w:ascii="Arial" w:hAnsi="Arial" w:cs="Arial"/>
          <w:sz w:val="18"/>
          <w:szCs w:val="18"/>
        </w:rPr>
        <w:t>932</w:t>
      </w:r>
      <w:r w:rsidR="00C54785" w:rsidRPr="00C54785">
        <w:rPr>
          <w:rFonts w:ascii="Arial" w:hAnsi="Arial" w:cs="Arial"/>
          <w:sz w:val="18"/>
          <w:szCs w:val="18"/>
        </w:rPr>
        <w:t xml:space="preserve"> Digitalizaciones </w:t>
      </w:r>
      <w:r>
        <w:rPr>
          <w:rFonts w:ascii="Arial" w:hAnsi="Arial" w:cs="Arial"/>
          <w:sz w:val="18"/>
          <w:szCs w:val="18"/>
        </w:rPr>
        <w:t xml:space="preserve">en el ejercicio </w:t>
      </w:r>
      <w:r w:rsidR="00C54785" w:rsidRPr="00C54785">
        <w:rPr>
          <w:rFonts w:ascii="Arial" w:hAnsi="Arial" w:cs="Arial"/>
          <w:sz w:val="18"/>
          <w:szCs w:val="18"/>
        </w:rPr>
        <w:t>como el método más eficaz para preservar y conservar los Documentos Históricos en formato digital y con ello lograr la menor manipulación posible, evitado un mayor deterioro.</w:t>
      </w:r>
    </w:p>
    <w:p w14:paraId="52FBDCBB" w14:textId="77777777" w:rsidR="00F359FC" w:rsidRPr="00C54785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6291A8" w14:textId="46131170" w:rsidR="00C54785" w:rsidRDefault="007556EA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realizó</w:t>
      </w:r>
      <w:r w:rsidR="00C54785" w:rsidRPr="00C54785">
        <w:rPr>
          <w:rFonts w:ascii="Arial" w:hAnsi="Arial" w:cs="Arial"/>
          <w:sz w:val="18"/>
          <w:szCs w:val="18"/>
        </w:rPr>
        <w:t xml:space="preserve"> la actualización y publicación del catálogo único de fondos, en formato digital y en formato físico disponible para quien lo solicite, para ejercer un debido control de los documentos, de tal forma que permitan su rápida localización para su posible consulta.</w:t>
      </w:r>
    </w:p>
    <w:p w14:paraId="37E7ABD0" w14:textId="77777777" w:rsidR="00E1239F" w:rsidRDefault="00E1239F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8F7107" w14:textId="7ABFE299" w:rsidR="00E1239F" w:rsidRDefault="00E1239F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39F">
        <w:rPr>
          <w:rFonts w:ascii="Arial" w:hAnsi="Arial" w:cs="Arial"/>
          <w:sz w:val="18"/>
          <w:szCs w:val="18"/>
        </w:rPr>
        <w:t>Se realiz</w:t>
      </w:r>
      <w:r>
        <w:rPr>
          <w:rFonts w:ascii="Arial" w:hAnsi="Arial" w:cs="Arial"/>
          <w:sz w:val="18"/>
          <w:szCs w:val="18"/>
        </w:rPr>
        <w:t xml:space="preserve">ó la investigación </w:t>
      </w:r>
      <w:r w:rsidRPr="00E1239F">
        <w:rPr>
          <w:rFonts w:ascii="Arial" w:hAnsi="Arial" w:cs="Arial"/>
          <w:sz w:val="18"/>
          <w:szCs w:val="18"/>
        </w:rPr>
        <w:t>del Patrimonio Documental con la finalidad de fomentar y promover la identidad cultural e histórica de Tlaxcala, a fin de difundir temas de interés como: Vitrina del mes de Octubre “Mapas y Croquis del ex Convento de San Francisco”, Vitrina del mes de Noviembre “José Domingo Arenas Pérez (1888-1917) y Vitrina de mes de Diciembre “ Devoción a la Virgen de Guadalupe en Tlaxcala durante el Virreinato”; con la finalidad de dar a conocer a la ciudadanía la extensa riqueza histórica-cultural con la que se cuenta en la entidad.</w:t>
      </w:r>
    </w:p>
    <w:p w14:paraId="03AAECF6" w14:textId="77777777" w:rsidR="00F359FC" w:rsidRPr="00C54785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B5564E" w14:textId="76192E0E" w:rsidR="00C54785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4785">
        <w:rPr>
          <w:rFonts w:ascii="Arial" w:hAnsi="Arial" w:cs="Arial"/>
          <w:sz w:val="18"/>
          <w:szCs w:val="18"/>
        </w:rPr>
        <w:lastRenderedPageBreak/>
        <w:t xml:space="preserve">Realizamos </w:t>
      </w:r>
      <w:r w:rsidR="00E1239F">
        <w:rPr>
          <w:rFonts w:ascii="Arial" w:hAnsi="Arial" w:cs="Arial"/>
          <w:sz w:val="18"/>
          <w:szCs w:val="18"/>
        </w:rPr>
        <w:t>6</w:t>
      </w:r>
      <w:r w:rsidRPr="00C54785">
        <w:rPr>
          <w:rFonts w:ascii="Arial" w:hAnsi="Arial" w:cs="Arial"/>
          <w:sz w:val="18"/>
          <w:szCs w:val="18"/>
        </w:rPr>
        <w:t xml:space="preserve"> eventos con la finalidad de fomentar la difusión del patrimonio documental histórico-cultural de la entidad, a través de talleres, difusiones en los diferentes medios de comunicación, conferencias, conversatorios, visitas a escuelas del estado y otros eventos culturales relacionados </w:t>
      </w:r>
      <w:r w:rsidR="00F359FC">
        <w:rPr>
          <w:rFonts w:ascii="Arial" w:hAnsi="Arial" w:cs="Arial"/>
          <w:sz w:val="18"/>
          <w:szCs w:val="18"/>
        </w:rPr>
        <w:t>b</w:t>
      </w:r>
      <w:r w:rsidRPr="00C54785">
        <w:rPr>
          <w:rFonts w:ascii="Arial" w:hAnsi="Arial" w:cs="Arial"/>
          <w:sz w:val="18"/>
          <w:szCs w:val="18"/>
        </w:rPr>
        <w:t>eneficiando a 929 niños y niñas.</w:t>
      </w:r>
    </w:p>
    <w:p w14:paraId="1F4942C9" w14:textId="77777777" w:rsidR="00F359FC" w:rsidRPr="00C54785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BCD9DC" w14:textId="64D96780" w:rsidR="00C54785" w:rsidRDefault="00A35C01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</w:t>
      </w:r>
      <w:r w:rsidR="00C54785" w:rsidRPr="00C54785">
        <w:rPr>
          <w:rFonts w:ascii="Arial" w:hAnsi="Arial" w:cs="Arial"/>
          <w:sz w:val="18"/>
          <w:szCs w:val="18"/>
        </w:rPr>
        <w:t>roporcion</w:t>
      </w:r>
      <w:r>
        <w:rPr>
          <w:rFonts w:ascii="Arial" w:hAnsi="Arial" w:cs="Arial"/>
          <w:sz w:val="18"/>
          <w:szCs w:val="18"/>
        </w:rPr>
        <w:t>ó</w:t>
      </w:r>
      <w:r w:rsidR="00C54785" w:rsidRPr="00C54785">
        <w:rPr>
          <w:rFonts w:ascii="Arial" w:hAnsi="Arial" w:cs="Arial"/>
          <w:sz w:val="18"/>
          <w:szCs w:val="18"/>
        </w:rPr>
        <w:t xml:space="preserve"> información Cultural e Histórica a </w:t>
      </w:r>
      <w:r>
        <w:rPr>
          <w:rFonts w:ascii="Arial" w:hAnsi="Arial" w:cs="Arial"/>
          <w:sz w:val="18"/>
          <w:szCs w:val="18"/>
        </w:rPr>
        <w:t>611</w:t>
      </w:r>
      <w:r w:rsidR="00C54785" w:rsidRPr="00C54785">
        <w:rPr>
          <w:rFonts w:ascii="Arial" w:hAnsi="Arial" w:cs="Arial"/>
          <w:sz w:val="18"/>
          <w:szCs w:val="18"/>
        </w:rPr>
        <w:t xml:space="preserve"> usuarios, con la finalidad de difundir el Acervo Documental del Archivo Histórico a través de las consultas realizadas de manera presencial por el público en general interesados.</w:t>
      </w:r>
    </w:p>
    <w:p w14:paraId="16867A3B" w14:textId="77777777" w:rsidR="00F359FC" w:rsidRPr="00C54785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FE9980" w14:textId="62E9D048" w:rsidR="00C54785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4785">
        <w:rPr>
          <w:rFonts w:ascii="Arial" w:hAnsi="Arial" w:cs="Arial"/>
          <w:sz w:val="18"/>
          <w:szCs w:val="18"/>
        </w:rPr>
        <w:t xml:space="preserve">Atendimos </w:t>
      </w:r>
      <w:r w:rsidR="00A35C01">
        <w:rPr>
          <w:rFonts w:ascii="Arial" w:hAnsi="Arial" w:cs="Arial"/>
          <w:sz w:val="18"/>
          <w:szCs w:val="18"/>
        </w:rPr>
        <w:t>11</w:t>
      </w:r>
      <w:r w:rsidRPr="00C54785">
        <w:rPr>
          <w:rFonts w:ascii="Arial" w:hAnsi="Arial" w:cs="Arial"/>
          <w:sz w:val="18"/>
          <w:szCs w:val="18"/>
        </w:rPr>
        <w:t xml:space="preserve"> Visitas Guiadas solicitadas por oficio al Archivo Histórico del Estado de Tlaxcala, donde </w:t>
      </w:r>
      <w:r w:rsidR="00A35C01">
        <w:rPr>
          <w:rFonts w:ascii="Arial" w:hAnsi="Arial" w:cs="Arial"/>
          <w:sz w:val="18"/>
          <w:szCs w:val="18"/>
        </w:rPr>
        <w:t>se busca</w:t>
      </w:r>
      <w:r w:rsidRPr="00C54785">
        <w:rPr>
          <w:rFonts w:ascii="Arial" w:hAnsi="Arial" w:cs="Arial"/>
          <w:sz w:val="18"/>
          <w:szCs w:val="18"/>
        </w:rPr>
        <w:t xml:space="preserve"> dar a conocer la riqueza el Acervo Histórico que se tiene bajo custodia, con el fin de que los visitantes conozcan más sobe la memoria documental del pasado y legado Tlaxcalteca.</w:t>
      </w:r>
    </w:p>
    <w:p w14:paraId="5ECAE399" w14:textId="77777777" w:rsidR="00F359FC" w:rsidRPr="00C54785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538F67" w14:textId="4CACD311" w:rsidR="00C54785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4785">
        <w:rPr>
          <w:rFonts w:ascii="Arial" w:hAnsi="Arial" w:cs="Arial"/>
          <w:sz w:val="18"/>
          <w:szCs w:val="18"/>
        </w:rPr>
        <w:t xml:space="preserve">Fomentamos el contribuir con el incremento de la memoria escrita del pasado Tlaxcalteca, a través de la donación; con el resguardo de fondos y colecciones particulares donadas cuya temática sea de interés histórico para la sociedad Tlaxcalteca recibiendo en este periodo, </w:t>
      </w:r>
      <w:r w:rsidR="00A35C01">
        <w:rPr>
          <w:rFonts w:ascii="Arial" w:hAnsi="Arial" w:cs="Arial"/>
          <w:sz w:val="18"/>
          <w:szCs w:val="18"/>
        </w:rPr>
        <w:t>109</w:t>
      </w:r>
      <w:r w:rsidRPr="00C54785">
        <w:rPr>
          <w:rFonts w:ascii="Arial" w:hAnsi="Arial" w:cs="Arial"/>
          <w:sz w:val="18"/>
          <w:szCs w:val="18"/>
        </w:rPr>
        <w:t xml:space="preserve"> libros en donación.</w:t>
      </w:r>
    </w:p>
    <w:p w14:paraId="25E94387" w14:textId="77777777" w:rsidR="00F359FC" w:rsidRPr="00C54785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B13C56" w14:textId="3CE6C580" w:rsidR="00C54785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4785">
        <w:rPr>
          <w:rFonts w:ascii="Arial" w:hAnsi="Arial" w:cs="Arial"/>
          <w:sz w:val="18"/>
          <w:szCs w:val="18"/>
        </w:rPr>
        <w:t xml:space="preserve">Fomentamos el fortalecimiento de la Cultura e Identidad Tlaxcalteca a través del acceso al Acervo de la Biblioteca del Archivo Histórico del Estado de Tlaxcala; Biblioteca especialista en el Fondo Tlaxcala donde el contenido en su mayoría es exclusivo a temas histórico-culturales de la entidad recibiendo a </w:t>
      </w:r>
      <w:r w:rsidR="00A35C01">
        <w:rPr>
          <w:rFonts w:ascii="Arial" w:hAnsi="Arial" w:cs="Arial"/>
          <w:sz w:val="18"/>
          <w:szCs w:val="18"/>
        </w:rPr>
        <w:t>305</w:t>
      </w:r>
      <w:r w:rsidRPr="00C54785">
        <w:rPr>
          <w:rFonts w:ascii="Arial" w:hAnsi="Arial" w:cs="Arial"/>
          <w:sz w:val="18"/>
          <w:szCs w:val="18"/>
        </w:rPr>
        <w:t xml:space="preserve"> usuarios en biblioteca para consulta.</w:t>
      </w:r>
    </w:p>
    <w:p w14:paraId="75C25829" w14:textId="77777777" w:rsidR="00F359FC" w:rsidRPr="00C54785" w:rsidRDefault="00F359FC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A63E3F" w14:textId="085F2B72" w:rsidR="0010532C" w:rsidRPr="0010532C" w:rsidRDefault="00C54785" w:rsidP="00C54785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00C54785">
        <w:rPr>
          <w:rFonts w:ascii="Arial" w:hAnsi="Arial" w:cs="Arial"/>
          <w:sz w:val="18"/>
          <w:szCs w:val="18"/>
        </w:rPr>
        <w:t xml:space="preserve">Por lo </w:t>
      </w:r>
      <w:r w:rsidR="00F359FC">
        <w:rPr>
          <w:rFonts w:ascii="Arial" w:hAnsi="Arial" w:cs="Arial"/>
          <w:sz w:val="18"/>
          <w:szCs w:val="18"/>
        </w:rPr>
        <w:t xml:space="preserve">que </w:t>
      </w:r>
      <w:r w:rsidRPr="00C54785">
        <w:rPr>
          <w:rFonts w:ascii="Arial" w:hAnsi="Arial" w:cs="Arial"/>
          <w:sz w:val="18"/>
          <w:szCs w:val="18"/>
        </w:rPr>
        <w:t>se</w:t>
      </w:r>
      <w:r w:rsidR="00F359FC">
        <w:rPr>
          <w:rFonts w:ascii="Arial" w:hAnsi="Arial" w:cs="Arial"/>
          <w:sz w:val="18"/>
          <w:szCs w:val="18"/>
        </w:rPr>
        <w:t xml:space="preserve"> continuará</w:t>
      </w:r>
      <w:r w:rsidRPr="00C54785">
        <w:rPr>
          <w:rFonts w:ascii="Arial" w:hAnsi="Arial" w:cs="Arial"/>
          <w:sz w:val="18"/>
          <w:szCs w:val="18"/>
        </w:rPr>
        <w:t xml:space="preserve"> fomentando la difusión del Patrimonio Documental Histórico-Cultural de la entidad, a través de la organización de eventos culturales, de la digitalización como el método más eficaz para la preservación de documentos, la organización y catalogación de los fondos históricos, así como el impulso y fomento a la investigación del patrimonio histórico documental, logrando con ello un acercamiento con la población para difundir el conocimiento de datos de interés histórico; Beneficiando a la población en general a través del acceso a la información contenida en el acervo histórico documental que es patrimonio Histórico-Cultural de Tlaxcala y de México.</w:t>
      </w:r>
    </w:p>
    <w:p w14:paraId="31251DB4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7F864AF5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59350E6E" w14:textId="77777777" w:rsidR="0010532C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78B43A87" w14:textId="77777777" w:rsidR="0010532C" w:rsidRPr="007A3614" w:rsidRDefault="0010532C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3DDA58F9" w14:textId="77777777" w:rsidR="00981DDB" w:rsidRPr="007A3614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lang w:val="es-ES_tradnl"/>
        </w:rPr>
      </w:pPr>
    </w:p>
    <w:p w14:paraId="0AF0FAD5" w14:textId="77777777" w:rsidR="0083022E" w:rsidRDefault="0083022E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4CC09523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3AF3DFD9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6A62AFCC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6033FA30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5C81DA83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6ECA1E5A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79BA5B8A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0215104E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2E33A558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53D8E2EC" w14:textId="77777777" w:rsid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363942F9" w14:textId="77777777" w:rsidR="00F359FC" w:rsidRPr="00F359FC" w:rsidRDefault="00F359FC" w:rsidP="00724B8C">
      <w:pPr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59D379C5" w14:textId="77777777"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14:paraId="20F363D8" w14:textId="77777777"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14:paraId="344A10D0" w14:textId="77777777"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14:paraId="1873D002" w14:textId="77777777"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2DFFAB67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445F5D9E" w14:textId="77777777"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14:paraId="19975004" w14:textId="77777777"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14:paraId="5CE5663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678F581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01338430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14:paraId="3062D565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5AA140C2" w14:textId="43DE4D59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</w:t>
      </w:r>
      <w:r w:rsidR="007A361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nalítico de la Deuda y Otros Pasivos</w:t>
      </w:r>
    </w:p>
    <w:p w14:paraId="773E393D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14:paraId="2926CAC1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5C71E556" w14:textId="77777777"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877EE62" w14:textId="77777777"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14:paraId="4C00ECC8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5A88A3EC" w14:textId="2ED62331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</w:t>
      </w:r>
      <w:r w:rsidR="00CE66BD">
        <w:rPr>
          <w:rFonts w:ascii="Arial" w:hAnsi="Arial" w:cs="Arial"/>
          <w:sz w:val="18"/>
          <w:szCs w:val="18"/>
        </w:rPr>
        <w:t xml:space="preserve"> de Ingresos</w:t>
      </w:r>
      <w:r>
        <w:rPr>
          <w:rFonts w:ascii="Arial" w:hAnsi="Arial" w:cs="Arial"/>
          <w:sz w:val="18"/>
          <w:szCs w:val="18"/>
        </w:rPr>
        <w:t xml:space="preserve"> y por Fuente de Financiamiento)</w:t>
      </w:r>
    </w:p>
    <w:p w14:paraId="47058AD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3AAB7E5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14:paraId="6019D612" w14:textId="77777777"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14:paraId="5A3658EA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1FDE3D1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419CED3" w14:textId="77777777"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5D203EE8" w14:textId="77777777"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5276CB1D" w14:textId="77777777" w:rsidR="00C55007" w:rsidRDefault="00C55007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25AF26D" w14:textId="77777777" w:rsidR="00986C92" w:rsidRPr="005B7A12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B7A12">
        <w:rPr>
          <w:rFonts w:ascii="Arial" w:hAnsi="Arial" w:cs="Arial"/>
          <w:sz w:val="18"/>
          <w:szCs w:val="18"/>
        </w:rPr>
        <w:t>INFORMACIÓN PROGRÁMATICA</w:t>
      </w:r>
    </w:p>
    <w:p w14:paraId="6612FFBC" w14:textId="77777777"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1E9BBB9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7ED3554F" w14:textId="77777777" w:rsidR="00986C92" w:rsidRPr="00DF317D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DF317D">
        <w:rPr>
          <w:rFonts w:ascii="Arial" w:hAnsi="Arial" w:cs="Arial"/>
          <w:sz w:val="18"/>
          <w:szCs w:val="18"/>
        </w:rPr>
        <w:t>Programas y Proyectos de Inversión</w:t>
      </w:r>
    </w:p>
    <w:p w14:paraId="0C7CC53F" w14:textId="77777777" w:rsidR="00703A12" w:rsidRPr="00DF317D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DF317D">
        <w:rPr>
          <w:rFonts w:ascii="Arial" w:hAnsi="Arial" w:cs="Arial"/>
          <w:sz w:val="18"/>
          <w:szCs w:val="18"/>
        </w:rPr>
        <w:t>Indicadores de Resultados</w:t>
      </w:r>
    </w:p>
    <w:p w14:paraId="29A7AA93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52F0BA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E92CB22" w14:textId="77777777" w:rsidR="00337D64" w:rsidRDefault="00337D64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822C05C" w14:textId="77777777" w:rsidR="00337D64" w:rsidRDefault="00337D64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8DE5138" w14:textId="77777777"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14:paraId="73DEA57C" w14:textId="77777777"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3F7F8593" w14:textId="77777777" w:rsidR="00656D6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1A34383D" w14:textId="77777777" w:rsidR="00986C9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605E3BD9" w14:textId="77777777" w:rsidR="00986C92" w:rsidRPr="00F11D67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370B9C7C" w14:textId="56C3CC26" w:rsidR="00EA1986" w:rsidRPr="00F11D67" w:rsidRDefault="00EA1986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F11D67">
        <w:rPr>
          <w:rFonts w:ascii="Arial" w:hAnsi="Arial" w:cs="Arial"/>
          <w:sz w:val="18"/>
          <w:szCs w:val="18"/>
        </w:rPr>
        <w:t>Relación de Esquemas Bursátiles</w:t>
      </w:r>
    </w:p>
    <w:p w14:paraId="13BB6C87" w14:textId="5B0F5004" w:rsidR="00EA1986" w:rsidRDefault="00B45C39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 46 último párrafo LGCG</w:t>
      </w:r>
    </w:p>
    <w:p w14:paraId="0843C413" w14:textId="062EFFFF" w:rsidR="001F6715" w:rsidRDefault="001F6715" w:rsidP="001F6715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contable:</w:t>
      </w:r>
    </w:p>
    <w:p w14:paraId="152F3B7B" w14:textId="4CE9E364" w:rsidR="00B45C39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actividades</w:t>
      </w:r>
    </w:p>
    <w:p w14:paraId="0692553E" w14:textId="5CCF5E80" w:rsidR="001F6715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situación financiera</w:t>
      </w:r>
    </w:p>
    <w:p w14:paraId="504BCF77" w14:textId="6556A8D8" w:rsidR="001F6715" w:rsidRPr="00621AE4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AE4">
        <w:rPr>
          <w:rFonts w:ascii="Arial" w:hAnsi="Arial" w:cs="Arial"/>
          <w:sz w:val="18"/>
          <w:szCs w:val="18"/>
        </w:rPr>
        <w:t>Estado de variación en la hacienda pública</w:t>
      </w:r>
    </w:p>
    <w:p w14:paraId="143864C1" w14:textId="53FC3B7C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 en la situación financiera</w:t>
      </w:r>
    </w:p>
    <w:p w14:paraId="4ECED065" w14:textId="1CE63C0E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25CCCA8" w14:textId="7877A8F0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14:paraId="6DF55981" w14:textId="0493FAC8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2F821181" w14:textId="786D6582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activo, e</w:t>
      </w:r>
    </w:p>
    <w:p w14:paraId="760E595B" w14:textId="397766DB" w:rsidR="001F6715" w:rsidRDefault="001F6715" w:rsidP="001F671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pasivos, del cual se derivan las clasificaciones siguientes:</w:t>
      </w:r>
    </w:p>
    <w:p w14:paraId="1F5C242A" w14:textId="1BB94459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Corto y largo plazo, así como por su origen en interna y externa</w:t>
      </w:r>
    </w:p>
    <w:p w14:paraId="1B2E0284" w14:textId="5F003213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Fuentes de financiamiento</w:t>
      </w:r>
    </w:p>
    <w:p w14:paraId="5298D146" w14:textId="514FDA94" w:rsidR="001F6715" w:rsidRDefault="001F6715" w:rsidP="001F67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país acreedor</w:t>
      </w:r>
    </w:p>
    <w:p w14:paraId="5B584D7B" w14:textId="62175AA3" w:rsidR="001F6715" w:rsidRDefault="001F6715" w:rsidP="001F67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Información presupuestaria:</w:t>
      </w:r>
    </w:p>
    <w:p w14:paraId="6C7A6B40" w14:textId="69BBFD24" w:rsidR="001F6715" w:rsidRDefault="001F6715" w:rsidP="001F671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ingresos, del que se deriva la presentación en clasificación económica por fuente de financiamiento y concepto, incluyendo los ingresos excedentes generados.</w:t>
      </w:r>
    </w:p>
    <w:p w14:paraId="38EE2275" w14:textId="70B63133" w:rsidR="001F6715" w:rsidRDefault="001F6715" w:rsidP="001F671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del que se derivan las clasificaciones siguientes:</w:t>
      </w:r>
    </w:p>
    <w:p w14:paraId="0E90CED8" w14:textId="487CF5C0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Administrativa</w:t>
      </w:r>
    </w:p>
    <w:p w14:paraId="357444B7" w14:textId="14617A23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Económica</w:t>
      </w:r>
    </w:p>
    <w:p w14:paraId="1B5BB83B" w14:textId="1ADDF17D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objeto del gasto</w:t>
      </w:r>
    </w:p>
    <w:p w14:paraId="66DCEE6E" w14:textId="30968F6F" w:rsidR="001F6715" w:rsidRDefault="001F6715" w:rsidP="001F6715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</w:t>
      </w:r>
    </w:p>
    <w:p w14:paraId="4F8B0303" w14:textId="7004AAB5" w:rsidR="001F6715" w:rsidRDefault="001B118C" w:rsidP="001F6715">
      <w:pPr>
        <w:pStyle w:val="Prrafodelista"/>
        <w:ind w:left="21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estado analítico del ejercicio del presupuesto de egresos deberá identificar los montos y adecuaciones presupuestarias y subejercicios por ramo y programa.</w:t>
      </w:r>
    </w:p>
    <w:p w14:paraId="26374073" w14:textId="7B5FEE9A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neto, financiamiento menos amortización, del que deriva la clasificación por su origen en interno y externo.</w:t>
      </w:r>
    </w:p>
    <w:p w14:paraId="16CE72BA" w14:textId="18A4C2F2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deuda,</w:t>
      </w:r>
    </w:p>
    <w:p w14:paraId="7B53D8ED" w14:textId="66602077" w:rsidR="001B118C" w:rsidRDefault="001B118C" w:rsidP="001B118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flujo de fondos que resuman todas las operaciones.</w:t>
      </w:r>
    </w:p>
    <w:p w14:paraId="4C48786A" w14:textId="77777777" w:rsidR="00337D64" w:rsidRDefault="00337D64" w:rsidP="001B118C">
      <w:pPr>
        <w:ind w:left="1410"/>
        <w:jc w:val="both"/>
        <w:rPr>
          <w:rFonts w:ascii="Arial" w:hAnsi="Arial" w:cs="Arial"/>
          <w:sz w:val="18"/>
          <w:szCs w:val="18"/>
        </w:rPr>
      </w:pPr>
    </w:p>
    <w:p w14:paraId="274C7C5B" w14:textId="77777777" w:rsidR="00337D64" w:rsidRDefault="00337D64" w:rsidP="001B118C">
      <w:pPr>
        <w:ind w:left="1410"/>
        <w:jc w:val="both"/>
        <w:rPr>
          <w:rFonts w:ascii="Arial" w:hAnsi="Arial" w:cs="Arial"/>
          <w:sz w:val="18"/>
          <w:szCs w:val="18"/>
        </w:rPr>
      </w:pPr>
    </w:p>
    <w:p w14:paraId="4A4864A0" w14:textId="77777777" w:rsidR="00337D64" w:rsidRDefault="00337D64" w:rsidP="001B118C">
      <w:pPr>
        <w:ind w:left="1410"/>
        <w:jc w:val="both"/>
        <w:rPr>
          <w:rFonts w:ascii="Arial" w:hAnsi="Arial" w:cs="Arial"/>
          <w:sz w:val="18"/>
          <w:szCs w:val="18"/>
        </w:rPr>
      </w:pPr>
    </w:p>
    <w:p w14:paraId="41ABF922" w14:textId="4A200ABA" w:rsidR="001B118C" w:rsidRDefault="001B118C" w:rsidP="001B118C">
      <w:pPr>
        <w:ind w:left="14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programática:</w:t>
      </w:r>
    </w:p>
    <w:p w14:paraId="24213F79" w14:textId="0EB6DCD1" w:rsidR="001B118C" w:rsidRDefault="001B118C" w:rsidP="001B118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5442C15B" w14:textId="77777777" w:rsidR="00B45C39" w:rsidRDefault="00B45C39" w:rsidP="00B45C39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2F9056B" w14:textId="21FA7D88" w:rsidR="001B118C" w:rsidRPr="003139A5" w:rsidRDefault="001B118C" w:rsidP="003139A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139A5">
        <w:rPr>
          <w:rFonts w:ascii="Arial" w:hAnsi="Arial" w:cs="Arial"/>
          <w:sz w:val="18"/>
          <w:szCs w:val="18"/>
        </w:rPr>
        <w:t>ANEXOS ADICIONALES, DEBERÁN INCLUIR LOS SIGUIENTES:</w:t>
      </w:r>
    </w:p>
    <w:p w14:paraId="1A2ADCCF" w14:textId="39CFCF5D" w:rsidR="005E5731" w:rsidRDefault="005E5731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9E0E4A">
        <w:rPr>
          <w:rFonts w:ascii="Arial" w:hAnsi="Arial" w:cs="Arial"/>
          <w:sz w:val="18"/>
          <w:szCs w:val="18"/>
        </w:rPr>
        <w:t>Balanza de Comprobación</w:t>
      </w:r>
    </w:p>
    <w:p w14:paraId="2D42685A" w14:textId="13B16B30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2FBB3515" w14:textId="3F64CED7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 (En medio electrónico formato Excel)</w:t>
      </w:r>
    </w:p>
    <w:p w14:paraId="0D103A95" w14:textId="30584860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bancaria (En medio electrónico formato Excel)</w:t>
      </w:r>
    </w:p>
    <w:p w14:paraId="58C119E9" w14:textId="2342E832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Presupuestales y Estado Analítico del Ejercicio del Presupuesto, emitidos por su Sistema Armonizado de Contabilidad, del periodo y acumulado (En medio electrónico).</w:t>
      </w:r>
    </w:p>
    <w:p w14:paraId="2148CF72" w14:textId="1359E952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 (En medio electrónico en caso de ejercer Obra Pública).</w:t>
      </w:r>
    </w:p>
    <w:p w14:paraId="11FCC063" w14:textId="3F8B5AB6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 (En medio electrónico).</w:t>
      </w:r>
    </w:p>
    <w:p w14:paraId="588DFD6F" w14:textId="2459B296" w:rsidR="009E0E4A" w:rsidRDefault="009E0E4A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 (En medio electrónico).</w:t>
      </w:r>
    </w:p>
    <w:p w14:paraId="4543BFCD" w14:textId="27048112" w:rsidR="009E0E4A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muebles, inmuebles e intangibles, codificado, clasificado y cuantificado emitido por el Sistema Armonizado de Administración y Contabilidad Gubernamental (En medio electrónico).</w:t>
      </w:r>
    </w:p>
    <w:p w14:paraId="732D0176" w14:textId="163D4E9B" w:rsidR="00652782" w:rsidRPr="00337D64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Relación de Ingresos Trimestral, en la cual deberá indicar el tipo de recurso ya sea los derivados de transferencias estatales, los derivados de transferencias federales y los recursos propios (En medio electrónico).</w:t>
      </w:r>
    </w:p>
    <w:p w14:paraId="36916E07" w14:textId="54CF5F34" w:rsidR="00652782" w:rsidRPr="00337D64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Relación de Ingreso Acumulado, a partir del segundo trimestre y bajo los mismos términos de la relación de ingresos trimestral (En medio electrónico).</w:t>
      </w:r>
    </w:p>
    <w:p w14:paraId="15116A4C" w14:textId="01D3CFE5" w:rsidR="00652782" w:rsidRPr="00337D64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Relación de Egresos Trimestral, en la cual en lo relativo a TRANSFERENCIAS deberá indicar de manera específica a que entidades u organismos de destinan dichas transferencias (En medio electrónico).</w:t>
      </w:r>
    </w:p>
    <w:p w14:paraId="3577D25B" w14:textId="46670041" w:rsidR="00652782" w:rsidRPr="00337D64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Relación de Egresos Acumulados a partir del segundo trimestre, en los mismos términos de la relación de egresos trimestral (En medio electrónico).</w:t>
      </w:r>
    </w:p>
    <w:p w14:paraId="1EFDCA6B" w14:textId="6DE86D83" w:rsidR="00652782" w:rsidRPr="00337D64" w:rsidRDefault="00652782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Plantilla de Personal Trimestral (En medio electrónico formato Excel).</w:t>
      </w:r>
    </w:p>
    <w:p w14:paraId="013C199A" w14:textId="328281C1" w:rsidR="00652782" w:rsidRPr="00337D64" w:rsidRDefault="00923580" w:rsidP="009E0E4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337D64">
        <w:rPr>
          <w:rFonts w:ascii="Arial" w:hAnsi="Arial" w:cs="Arial"/>
          <w:sz w:val="18"/>
          <w:szCs w:val="18"/>
        </w:rPr>
        <w:t>Libro Diario (En medio electrónico formato Excel).</w:t>
      </w:r>
    </w:p>
    <w:p w14:paraId="7585D37A" w14:textId="77777777" w:rsidR="00923580" w:rsidRDefault="00923580" w:rsidP="00923580">
      <w:pPr>
        <w:pStyle w:val="Prrafodelista"/>
        <w:ind w:left="1455"/>
        <w:jc w:val="both"/>
        <w:rPr>
          <w:rFonts w:ascii="Arial" w:hAnsi="Arial" w:cs="Arial"/>
          <w:sz w:val="18"/>
          <w:szCs w:val="18"/>
        </w:rPr>
      </w:pPr>
    </w:p>
    <w:p w14:paraId="169601A8" w14:textId="77777777"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8C151E0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3AF0715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02A2B46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05F51DC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1C60196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5EE8ED2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7726C0D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4669BA4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99B4ED5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B136057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0BFDF5D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C5B0F2B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D7B3F0A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36E4FAA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0D1718D3" w14:textId="77777777" w:rsidR="00337D64" w:rsidRDefault="00337D64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4740CDB" w14:textId="77777777"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1E13D6" w14:textId="77777777" w:rsidR="009D1B13" w:rsidRPr="00F359FC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359FC">
        <w:rPr>
          <w:rFonts w:ascii="Arial" w:hAnsi="Arial" w:cs="Arial"/>
          <w:sz w:val="18"/>
          <w:szCs w:val="18"/>
        </w:rPr>
        <w:t>LEY DE DISCIPLINA FINANCIERA</w:t>
      </w:r>
    </w:p>
    <w:p w14:paraId="53EBD055" w14:textId="77777777"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18A433AF" w14:textId="77777777"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14:paraId="6E5F7C24" w14:textId="77777777"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14:paraId="602A5A6D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14:paraId="53DBF06C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7A33D7F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14:paraId="0C7AF7F3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14:paraId="6486CB57" w14:textId="77777777"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14:paraId="2233ACF0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14:paraId="337E2EFB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14:paraId="0ADD2B14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14:paraId="61CA5436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14:paraId="036D9B02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14:paraId="1EE03FFF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14:paraId="1C03C9D1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7c. Resultado de Ingresos</w:t>
      </w:r>
    </w:p>
    <w:p w14:paraId="586228E5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14:paraId="48C7CE74" w14:textId="77777777" w:rsidR="004C7F7B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p w14:paraId="1E2B2E8C" w14:textId="77777777" w:rsidR="00252B5E" w:rsidRDefault="00252B5E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p w14:paraId="5CDB3CD0" w14:textId="77777777" w:rsidR="00252B5E" w:rsidRDefault="00252B5E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252B5E" w:rsidSect="00C7018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477AF" w14:textId="77777777" w:rsidR="003C5086" w:rsidRDefault="003C5086" w:rsidP="00EA5418">
      <w:pPr>
        <w:spacing w:after="0" w:line="240" w:lineRule="auto"/>
      </w:pPr>
      <w:r>
        <w:separator/>
      </w:r>
    </w:p>
  </w:endnote>
  <w:endnote w:type="continuationSeparator" w:id="0">
    <w:p w14:paraId="411853C0" w14:textId="77777777" w:rsidR="003C5086" w:rsidRDefault="003C50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6177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7A62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CC70D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D876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D519E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CC55" w14:textId="77777777" w:rsidR="003C5086" w:rsidRDefault="003C5086" w:rsidP="00EA5418">
      <w:pPr>
        <w:spacing w:after="0" w:line="240" w:lineRule="auto"/>
      </w:pPr>
      <w:r>
        <w:separator/>
      </w:r>
    </w:p>
  </w:footnote>
  <w:footnote w:type="continuationSeparator" w:id="0">
    <w:p w14:paraId="40129240" w14:textId="77777777" w:rsidR="003C5086" w:rsidRDefault="003C50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AD1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353D69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7C9AF9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B2D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2D65EC" w14:textId="77777777"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353D69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7C9AF9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B2D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2D65EC" w14:textId="77777777"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BBF8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219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DAF9F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5DA46FC"/>
    <w:multiLevelType w:val="hybridMultilevel"/>
    <w:tmpl w:val="160C13CE"/>
    <w:lvl w:ilvl="0" w:tplc="B8C8581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88539F"/>
    <w:multiLevelType w:val="hybridMultilevel"/>
    <w:tmpl w:val="61EE3BBA"/>
    <w:lvl w:ilvl="0" w:tplc="8460DB86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561F5"/>
    <w:multiLevelType w:val="hybridMultilevel"/>
    <w:tmpl w:val="CD5CDDC8"/>
    <w:lvl w:ilvl="0" w:tplc="CFBAB0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5" w:hanging="360"/>
      </w:pPr>
    </w:lvl>
    <w:lvl w:ilvl="2" w:tplc="080A001B" w:tentative="1">
      <w:start w:val="1"/>
      <w:numFmt w:val="lowerRoman"/>
      <w:lvlText w:val="%3."/>
      <w:lvlJc w:val="right"/>
      <w:pPr>
        <w:ind w:left="2895" w:hanging="180"/>
      </w:pPr>
    </w:lvl>
    <w:lvl w:ilvl="3" w:tplc="080A000F" w:tentative="1">
      <w:start w:val="1"/>
      <w:numFmt w:val="decimal"/>
      <w:lvlText w:val="%4."/>
      <w:lvlJc w:val="left"/>
      <w:pPr>
        <w:ind w:left="3615" w:hanging="360"/>
      </w:pPr>
    </w:lvl>
    <w:lvl w:ilvl="4" w:tplc="080A0019" w:tentative="1">
      <w:start w:val="1"/>
      <w:numFmt w:val="lowerLetter"/>
      <w:lvlText w:val="%5."/>
      <w:lvlJc w:val="left"/>
      <w:pPr>
        <w:ind w:left="4335" w:hanging="360"/>
      </w:pPr>
    </w:lvl>
    <w:lvl w:ilvl="5" w:tplc="080A001B" w:tentative="1">
      <w:start w:val="1"/>
      <w:numFmt w:val="lowerRoman"/>
      <w:lvlText w:val="%6."/>
      <w:lvlJc w:val="right"/>
      <w:pPr>
        <w:ind w:left="5055" w:hanging="180"/>
      </w:pPr>
    </w:lvl>
    <w:lvl w:ilvl="6" w:tplc="080A000F" w:tentative="1">
      <w:start w:val="1"/>
      <w:numFmt w:val="decimal"/>
      <w:lvlText w:val="%7."/>
      <w:lvlJc w:val="left"/>
      <w:pPr>
        <w:ind w:left="5775" w:hanging="360"/>
      </w:pPr>
    </w:lvl>
    <w:lvl w:ilvl="7" w:tplc="080A0019" w:tentative="1">
      <w:start w:val="1"/>
      <w:numFmt w:val="lowerLetter"/>
      <w:lvlText w:val="%8."/>
      <w:lvlJc w:val="left"/>
      <w:pPr>
        <w:ind w:left="6495" w:hanging="360"/>
      </w:pPr>
    </w:lvl>
    <w:lvl w:ilvl="8" w:tplc="08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4E4C72C0"/>
    <w:multiLevelType w:val="hybridMultilevel"/>
    <w:tmpl w:val="A1FA6558"/>
    <w:lvl w:ilvl="0" w:tplc="E3E8D2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A1328"/>
    <w:multiLevelType w:val="hybridMultilevel"/>
    <w:tmpl w:val="58B694F0"/>
    <w:lvl w:ilvl="0" w:tplc="FA121E5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3" w:hanging="360"/>
      </w:pPr>
    </w:lvl>
    <w:lvl w:ilvl="2" w:tplc="080A001B" w:tentative="1">
      <w:start w:val="1"/>
      <w:numFmt w:val="lowerRoman"/>
      <w:lvlText w:val="%3."/>
      <w:lvlJc w:val="right"/>
      <w:pPr>
        <w:ind w:left="3213" w:hanging="180"/>
      </w:pPr>
    </w:lvl>
    <w:lvl w:ilvl="3" w:tplc="080A000F" w:tentative="1">
      <w:start w:val="1"/>
      <w:numFmt w:val="decimal"/>
      <w:lvlText w:val="%4."/>
      <w:lvlJc w:val="left"/>
      <w:pPr>
        <w:ind w:left="3933" w:hanging="360"/>
      </w:pPr>
    </w:lvl>
    <w:lvl w:ilvl="4" w:tplc="080A0019" w:tentative="1">
      <w:start w:val="1"/>
      <w:numFmt w:val="lowerLetter"/>
      <w:lvlText w:val="%5."/>
      <w:lvlJc w:val="left"/>
      <w:pPr>
        <w:ind w:left="4653" w:hanging="360"/>
      </w:pPr>
    </w:lvl>
    <w:lvl w:ilvl="5" w:tplc="080A001B" w:tentative="1">
      <w:start w:val="1"/>
      <w:numFmt w:val="lowerRoman"/>
      <w:lvlText w:val="%6."/>
      <w:lvlJc w:val="right"/>
      <w:pPr>
        <w:ind w:left="5373" w:hanging="180"/>
      </w:pPr>
    </w:lvl>
    <w:lvl w:ilvl="6" w:tplc="080A000F" w:tentative="1">
      <w:start w:val="1"/>
      <w:numFmt w:val="decimal"/>
      <w:lvlText w:val="%7."/>
      <w:lvlJc w:val="left"/>
      <w:pPr>
        <w:ind w:left="6093" w:hanging="360"/>
      </w:pPr>
    </w:lvl>
    <w:lvl w:ilvl="7" w:tplc="080A0019" w:tentative="1">
      <w:start w:val="1"/>
      <w:numFmt w:val="lowerLetter"/>
      <w:lvlText w:val="%8."/>
      <w:lvlJc w:val="left"/>
      <w:pPr>
        <w:ind w:left="6813" w:hanging="360"/>
      </w:pPr>
    </w:lvl>
    <w:lvl w:ilvl="8" w:tplc="08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61E3040A"/>
    <w:multiLevelType w:val="hybridMultilevel"/>
    <w:tmpl w:val="6B9EE7B6"/>
    <w:lvl w:ilvl="0" w:tplc="5E4E48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23525B"/>
    <w:multiLevelType w:val="hybridMultilevel"/>
    <w:tmpl w:val="87927124"/>
    <w:lvl w:ilvl="0" w:tplc="B3B255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DAB0CE4"/>
    <w:multiLevelType w:val="hybridMultilevel"/>
    <w:tmpl w:val="F698A56C"/>
    <w:lvl w:ilvl="0" w:tplc="50648F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042">
    <w:abstractNumId w:val="0"/>
  </w:num>
  <w:num w:numId="2" w16cid:durableId="727462653">
    <w:abstractNumId w:val="1"/>
  </w:num>
  <w:num w:numId="3" w16cid:durableId="1109467977">
    <w:abstractNumId w:val="6"/>
  </w:num>
  <w:num w:numId="4" w16cid:durableId="648440929">
    <w:abstractNumId w:val="5"/>
  </w:num>
  <w:num w:numId="5" w16cid:durableId="1701972776">
    <w:abstractNumId w:val="19"/>
  </w:num>
  <w:num w:numId="6" w16cid:durableId="1041635106">
    <w:abstractNumId w:val="8"/>
  </w:num>
  <w:num w:numId="7" w16cid:durableId="1386294606">
    <w:abstractNumId w:val="18"/>
  </w:num>
  <w:num w:numId="8" w16cid:durableId="1164125710">
    <w:abstractNumId w:val="11"/>
  </w:num>
  <w:num w:numId="9" w16cid:durableId="1907177575">
    <w:abstractNumId w:val="14"/>
  </w:num>
  <w:num w:numId="10" w16cid:durableId="661275550">
    <w:abstractNumId w:val="2"/>
  </w:num>
  <w:num w:numId="11" w16cid:durableId="487405304">
    <w:abstractNumId w:val="17"/>
  </w:num>
  <w:num w:numId="12" w16cid:durableId="489294146">
    <w:abstractNumId w:val="4"/>
  </w:num>
  <w:num w:numId="13" w16cid:durableId="16512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346835">
    <w:abstractNumId w:val="13"/>
  </w:num>
  <w:num w:numId="15" w16cid:durableId="53352498">
    <w:abstractNumId w:val="15"/>
  </w:num>
  <w:num w:numId="16" w16cid:durableId="1531994646">
    <w:abstractNumId w:val="16"/>
  </w:num>
  <w:num w:numId="17" w16cid:durableId="1869443037">
    <w:abstractNumId w:val="7"/>
  </w:num>
  <w:num w:numId="18" w16cid:durableId="1797288876">
    <w:abstractNumId w:val="3"/>
  </w:num>
  <w:num w:numId="19" w16cid:durableId="39091364">
    <w:abstractNumId w:val="12"/>
  </w:num>
  <w:num w:numId="20" w16cid:durableId="2074961365">
    <w:abstractNumId w:val="10"/>
  </w:num>
  <w:num w:numId="21" w16cid:durableId="1854683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404D8"/>
    <w:rsid w:val="000532C4"/>
    <w:rsid w:val="00056042"/>
    <w:rsid w:val="000759F1"/>
    <w:rsid w:val="00087589"/>
    <w:rsid w:val="000928D4"/>
    <w:rsid w:val="00092DA5"/>
    <w:rsid w:val="000C2E25"/>
    <w:rsid w:val="000C5C36"/>
    <w:rsid w:val="001031F7"/>
    <w:rsid w:val="0010532C"/>
    <w:rsid w:val="00112C82"/>
    <w:rsid w:val="0012106E"/>
    <w:rsid w:val="0013011C"/>
    <w:rsid w:val="001308CF"/>
    <w:rsid w:val="00131F54"/>
    <w:rsid w:val="00133AAD"/>
    <w:rsid w:val="001409C3"/>
    <w:rsid w:val="00145941"/>
    <w:rsid w:val="001537CF"/>
    <w:rsid w:val="001646D9"/>
    <w:rsid w:val="00175969"/>
    <w:rsid w:val="001A00C2"/>
    <w:rsid w:val="001B118C"/>
    <w:rsid w:val="001B1B72"/>
    <w:rsid w:val="001B405F"/>
    <w:rsid w:val="001C3B87"/>
    <w:rsid w:val="001C41DD"/>
    <w:rsid w:val="001E00F2"/>
    <w:rsid w:val="001F6715"/>
    <w:rsid w:val="00204135"/>
    <w:rsid w:val="00215511"/>
    <w:rsid w:val="002216F4"/>
    <w:rsid w:val="002416FC"/>
    <w:rsid w:val="00252B5E"/>
    <w:rsid w:val="00284F5E"/>
    <w:rsid w:val="00285850"/>
    <w:rsid w:val="002865A7"/>
    <w:rsid w:val="00297D28"/>
    <w:rsid w:val="002A70B3"/>
    <w:rsid w:val="002B36EF"/>
    <w:rsid w:val="002C2917"/>
    <w:rsid w:val="002C778A"/>
    <w:rsid w:val="002E45B2"/>
    <w:rsid w:val="002E5897"/>
    <w:rsid w:val="002F0DE9"/>
    <w:rsid w:val="002F3A11"/>
    <w:rsid w:val="002F5394"/>
    <w:rsid w:val="00307635"/>
    <w:rsid w:val="00310D3A"/>
    <w:rsid w:val="003139A5"/>
    <w:rsid w:val="003268D7"/>
    <w:rsid w:val="00337D64"/>
    <w:rsid w:val="003436FE"/>
    <w:rsid w:val="003460B0"/>
    <w:rsid w:val="0034745A"/>
    <w:rsid w:val="00355821"/>
    <w:rsid w:val="003575A4"/>
    <w:rsid w:val="003610E0"/>
    <w:rsid w:val="00372F40"/>
    <w:rsid w:val="00384852"/>
    <w:rsid w:val="003C5086"/>
    <w:rsid w:val="003D5DBF"/>
    <w:rsid w:val="003E7FD0"/>
    <w:rsid w:val="00406946"/>
    <w:rsid w:val="00406CE5"/>
    <w:rsid w:val="00416A9C"/>
    <w:rsid w:val="00427E2C"/>
    <w:rsid w:val="00441A0E"/>
    <w:rsid w:val="0044253C"/>
    <w:rsid w:val="0044441B"/>
    <w:rsid w:val="00444ACB"/>
    <w:rsid w:val="004614A0"/>
    <w:rsid w:val="00473B33"/>
    <w:rsid w:val="00483151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4F542F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34CE1"/>
    <w:rsid w:val="00540418"/>
    <w:rsid w:val="005633A2"/>
    <w:rsid w:val="00582405"/>
    <w:rsid w:val="005859FA"/>
    <w:rsid w:val="005956E5"/>
    <w:rsid w:val="005B06E7"/>
    <w:rsid w:val="005B19D3"/>
    <w:rsid w:val="005B2D7D"/>
    <w:rsid w:val="005B6C40"/>
    <w:rsid w:val="005B7A12"/>
    <w:rsid w:val="005E5731"/>
    <w:rsid w:val="005F52C6"/>
    <w:rsid w:val="006048D2"/>
    <w:rsid w:val="00607D9E"/>
    <w:rsid w:val="00611E39"/>
    <w:rsid w:val="006216F8"/>
    <w:rsid w:val="00621AE4"/>
    <w:rsid w:val="00631E89"/>
    <w:rsid w:val="00633025"/>
    <w:rsid w:val="00652782"/>
    <w:rsid w:val="00655D8D"/>
    <w:rsid w:val="00656D62"/>
    <w:rsid w:val="00667C32"/>
    <w:rsid w:val="00676076"/>
    <w:rsid w:val="00676A23"/>
    <w:rsid w:val="00680209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1E90"/>
    <w:rsid w:val="00724B8C"/>
    <w:rsid w:val="00727186"/>
    <w:rsid w:val="00737D9B"/>
    <w:rsid w:val="00741A26"/>
    <w:rsid w:val="0075305B"/>
    <w:rsid w:val="00754508"/>
    <w:rsid w:val="00754CBB"/>
    <w:rsid w:val="007556EA"/>
    <w:rsid w:val="0077212D"/>
    <w:rsid w:val="00775D30"/>
    <w:rsid w:val="00777AD8"/>
    <w:rsid w:val="00782B73"/>
    <w:rsid w:val="00783049"/>
    <w:rsid w:val="007935A3"/>
    <w:rsid w:val="0079582C"/>
    <w:rsid w:val="007A3614"/>
    <w:rsid w:val="007A5500"/>
    <w:rsid w:val="007B145A"/>
    <w:rsid w:val="007B5824"/>
    <w:rsid w:val="007B7C67"/>
    <w:rsid w:val="007D6E9A"/>
    <w:rsid w:val="007E03E5"/>
    <w:rsid w:val="007E6475"/>
    <w:rsid w:val="007E71CF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17645"/>
    <w:rsid w:val="00922527"/>
    <w:rsid w:val="00923580"/>
    <w:rsid w:val="00937888"/>
    <w:rsid w:val="0094454A"/>
    <w:rsid w:val="00946290"/>
    <w:rsid w:val="009470C9"/>
    <w:rsid w:val="009555EC"/>
    <w:rsid w:val="00964359"/>
    <w:rsid w:val="00970E9B"/>
    <w:rsid w:val="00981DDB"/>
    <w:rsid w:val="009844BB"/>
    <w:rsid w:val="00986C92"/>
    <w:rsid w:val="009B4922"/>
    <w:rsid w:val="009D1B13"/>
    <w:rsid w:val="009E0E4A"/>
    <w:rsid w:val="009E4248"/>
    <w:rsid w:val="00A044D9"/>
    <w:rsid w:val="00A11EBA"/>
    <w:rsid w:val="00A134F8"/>
    <w:rsid w:val="00A14B74"/>
    <w:rsid w:val="00A272E0"/>
    <w:rsid w:val="00A35C01"/>
    <w:rsid w:val="00A425EC"/>
    <w:rsid w:val="00A43705"/>
    <w:rsid w:val="00A73573"/>
    <w:rsid w:val="00A8349A"/>
    <w:rsid w:val="00AB0783"/>
    <w:rsid w:val="00AB13B7"/>
    <w:rsid w:val="00AC1FC6"/>
    <w:rsid w:val="00B05A3B"/>
    <w:rsid w:val="00B06537"/>
    <w:rsid w:val="00B17423"/>
    <w:rsid w:val="00B34D67"/>
    <w:rsid w:val="00B42A02"/>
    <w:rsid w:val="00B45C39"/>
    <w:rsid w:val="00B849EE"/>
    <w:rsid w:val="00B912D9"/>
    <w:rsid w:val="00B92D9F"/>
    <w:rsid w:val="00BC4EFF"/>
    <w:rsid w:val="00BE0800"/>
    <w:rsid w:val="00C102A9"/>
    <w:rsid w:val="00C16FBC"/>
    <w:rsid w:val="00C27F12"/>
    <w:rsid w:val="00C44F01"/>
    <w:rsid w:val="00C503CF"/>
    <w:rsid w:val="00C54785"/>
    <w:rsid w:val="00C55007"/>
    <w:rsid w:val="00C6443C"/>
    <w:rsid w:val="00C676F1"/>
    <w:rsid w:val="00C70181"/>
    <w:rsid w:val="00C82D61"/>
    <w:rsid w:val="00C927DC"/>
    <w:rsid w:val="00CA22E6"/>
    <w:rsid w:val="00CA2D37"/>
    <w:rsid w:val="00CA3794"/>
    <w:rsid w:val="00CC5CB6"/>
    <w:rsid w:val="00CD719D"/>
    <w:rsid w:val="00CE2B0A"/>
    <w:rsid w:val="00CE2E28"/>
    <w:rsid w:val="00CE66BD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4F37"/>
    <w:rsid w:val="00DC6C73"/>
    <w:rsid w:val="00DD230F"/>
    <w:rsid w:val="00DE2BA9"/>
    <w:rsid w:val="00DF317D"/>
    <w:rsid w:val="00E1239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1986"/>
    <w:rsid w:val="00EA5418"/>
    <w:rsid w:val="00ED1273"/>
    <w:rsid w:val="00ED6BE8"/>
    <w:rsid w:val="00F10CE1"/>
    <w:rsid w:val="00F11D67"/>
    <w:rsid w:val="00F329DA"/>
    <w:rsid w:val="00F3534A"/>
    <w:rsid w:val="00F359FC"/>
    <w:rsid w:val="00F54A68"/>
    <w:rsid w:val="00F64866"/>
    <w:rsid w:val="00F75D5C"/>
    <w:rsid w:val="00F81A91"/>
    <w:rsid w:val="00F82956"/>
    <w:rsid w:val="00F83FC1"/>
    <w:rsid w:val="00F96944"/>
    <w:rsid w:val="00FB7F7C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6</Pages>
  <Words>1770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ALEXANDER PEREZ TLECUITL</cp:lastModifiedBy>
  <cp:revision>92</cp:revision>
  <cp:lastPrinted>2025-01-03T23:58:00Z</cp:lastPrinted>
  <dcterms:created xsi:type="dcterms:W3CDTF">2015-07-01T23:47:00Z</dcterms:created>
  <dcterms:modified xsi:type="dcterms:W3CDTF">2025-01-06T21:02:00Z</dcterms:modified>
</cp:coreProperties>
</file>