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7C906" w14:textId="4209CE03" w:rsidR="00B844F0" w:rsidRDefault="00075F11" w:rsidP="000A2A48">
      <w:pPr>
        <w:jc w:val="center"/>
        <w:rPr>
          <w:rFonts w:ascii="Arial" w:hAnsi="Arial" w:cs="Arial"/>
          <w:b/>
          <w:sz w:val="18"/>
          <w:szCs w:val="18"/>
        </w:rPr>
      </w:pPr>
      <w:r w:rsidRPr="00B372A2">
        <w:rPr>
          <w:rFonts w:ascii="Arial" w:hAnsi="Arial" w:cs="Arial"/>
          <w:b/>
          <w:sz w:val="18"/>
          <w:szCs w:val="18"/>
        </w:rPr>
        <w:t>Introducción</w:t>
      </w:r>
    </w:p>
    <w:p w14:paraId="3FA43D98" w14:textId="77777777" w:rsidR="00D17CAD" w:rsidRDefault="00D17CAD" w:rsidP="00D17CAD">
      <w:pPr>
        <w:jc w:val="both"/>
        <w:rPr>
          <w:rFonts w:ascii="Arial" w:hAnsi="Arial" w:cs="Arial"/>
          <w:sz w:val="18"/>
          <w:szCs w:val="18"/>
        </w:rPr>
      </w:pPr>
      <w:r>
        <w:rPr>
          <w:rFonts w:ascii="Arial" w:hAnsi="Arial" w:cs="Arial"/>
          <w:sz w:val="18"/>
          <w:szCs w:val="18"/>
        </w:rPr>
        <w:t>El Gobierno del Estado a través del</w:t>
      </w:r>
      <w:r w:rsidRPr="002D3FE8">
        <w:rPr>
          <w:rFonts w:ascii="Arial" w:hAnsi="Arial" w:cs="Arial"/>
          <w:sz w:val="18"/>
          <w:szCs w:val="18"/>
        </w:rPr>
        <w:t xml:space="preserve"> Fondo Macro para el Desarrollo Integral de Tlaxcala</w:t>
      </w:r>
      <w:r>
        <w:rPr>
          <w:rFonts w:ascii="Arial" w:hAnsi="Arial" w:cs="Arial"/>
          <w:sz w:val="18"/>
          <w:szCs w:val="18"/>
        </w:rPr>
        <w:t xml:space="preserve"> “FOMTLAX”, contribuye al desarrollo económico del Estado con el otorgamiento de créditos para</w:t>
      </w:r>
      <w:r w:rsidRPr="002D3FE8">
        <w:rPr>
          <w:rFonts w:ascii="Arial" w:hAnsi="Arial" w:cs="Arial"/>
          <w:sz w:val="18"/>
          <w:szCs w:val="18"/>
        </w:rPr>
        <w:t xml:space="preserve"> las micro y pequeñas empresas </w:t>
      </w:r>
      <w:r>
        <w:rPr>
          <w:rFonts w:ascii="Arial" w:hAnsi="Arial" w:cs="Arial"/>
          <w:sz w:val="18"/>
          <w:szCs w:val="18"/>
        </w:rPr>
        <w:t>de los diversos sectores económicos, fomentando el empleo, a fín de mejorar el ingreso de las familias tlaxcaltecas.</w:t>
      </w:r>
    </w:p>
    <w:p w14:paraId="1ADBCB8F" w14:textId="77777777" w:rsidR="00D17CAD" w:rsidRDefault="00D17CAD" w:rsidP="00D17CAD">
      <w:pPr>
        <w:jc w:val="both"/>
        <w:rPr>
          <w:rFonts w:ascii="Arial" w:hAnsi="Arial" w:cs="Arial"/>
          <w:sz w:val="18"/>
          <w:szCs w:val="18"/>
        </w:rPr>
      </w:pPr>
      <w:r>
        <w:rPr>
          <w:rFonts w:ascii="Arial" w:hAnsi="Arial" w:cs="Arial"/>
          <w:sz w:val="18"/>
          <w:szCs w:val="18"/>
        </w:rPr>
        <w:t xml:space="preserve">Del mes de enero al mes de diciembre, se brindó orientación a </w:t>
      </w:r>
      <w:r w:rsidRPr="009E76EE">
        <w:rPr>
          <w:rFonts w:ascii="Arial" w:hAnsi="Arial" w:cs="Arial"/>
          <w:sz w:val="18"/>
          <w:szCs w:val="18"/>
        </w:rPr>
        <w:t>1</w:t>
      </w:r>
      <w:r>
        <w:rPr>
          <w:rFonts w:ascii="Arial" w:hAnsi="Arial" w:cs="Arial"/>
          <w:sz w:val="18"/>
          <w:szCs w:val="18"/>
        </w:rPr>
        <w:t>,</w:t>
      </w:r>
      <w:r w:rsidRPr="009E76EE">
        <w:rPr>
          <w:rFonts w:ascii="Arial" w:hAnsi="Arial" w:cs="Arial"/>
          <w:sz w:val="18"/>
          <w:szCs w:val="18"/>
        </w:rPr>
        <w:t>6</w:t>
      </w:r>
      <w:r>
        <w:rPr>
          <w:rFonts w:ascii="Arial" w:hAnsi="Arial" w:cs="Arial"/>
          <w:sz w:val="18"/>
          <w:szCs w:val="18"/>
        </w:rPr>
        <w:t xml:space="preserve">32 personas interesadas en obtener un crédito, </w:t>
      </w:r>
      <w:r w:rsidRPr="009E76EE">
        <w:rPr>
          <w:rFonts w:ascii="Arial" w:hAnsi="Arial" w:cs="Arial"/>
          <w:sz w:val="18"/>
          <w:szCs w:val="18"/>
        </w:rPr>
        <w:t>recibiéndose 1,398</w:t>
      </w:r>
      <w:r>
        <w:rPr>
          <w:rFonts w:ascii="Arial" w:hAnsi="Arial" w:cs="Arial"/>
          <w:sz w:val="18"/>
          <w:szCs w:val="18"/>
        </w:rPr>
        <w:t xml:space="preserve"> solicitudes, otorgándose 1,319 créditos, con una inversión de 43.5 MDP, </w:t>
      </w:r>
      <w:r w:rsidRPr="00E339ED">
        <w:rPr>
          <w:rFonts w:ascii="Arial" w:hAnsi="Arial" w:cs="Arial"/>
          <w:sz w:val="18"/>
          <w:szCs w:val="18"/>
        </w:rPr>
        <w:t xml:space="preserve">que beneficiaron </w:t>
      </w:r>
      <w:r>
        <w:rPr>
          <w:rFonts w:ascii="Arial" w:hAnsi="Arial" w:cs="Arial"/>
          <w:sz w:val="18"/>
          <w:szCs w:val="18"/>
        </w:rPr>
        <w:t xml:space="preserve">a más de 2 mil familias. Lo anterior aprobado en 46 sesiones ordinarias del Comité de Crédito Interno de este Organismo. </w:t>
      </w:r>
    </w:p>
    <w:p w14:paraId="7D1CF088" w14:textId="77777777" w:rsidR="00D17CAD" w:rsidRDefault="00D17CAD" w:rsidP="00D17CAD">
      <w:pPr>
        <w:pStyle w:val="Prrafodelista"/>
        <w:suppressAutoHyphens/>
        <w:autoSpaceDE w:val="0"/>
        <w:autoSpaceDN w:val="0"/>
        <w:adjustRightInd w:val="0"/>
        <w:spacing w:after="0" w:line="240" w:lineRule="auto"/>
        <w:ind w:left="0"/>
        <w:jc w:val="both"/>
        <w:rPr>
          <w:rFonts w:ascii="Arial" w:hAnsi="Arial" w:cs="Arial"/>
          <w:sz w:val="18"/>
          <w:szCs w:val="18"/>
        </w:rPr>
      </w:pPr>
      <w:r w:rsidRPr="001E36AD">
        <w:rPr>
          <w:rFonts w:ascii="Arial" w:hAnsi="Arial" w:cs="Arial"/>
          <w:sz w:val="18"/>
          <w:szCs w:val="18"/>
        </w:rPr>
        <w:t xml:space="preserve">Se llevaron a cabo pláticas de promoción </w:t>
      </w:r>
      <w:r>
        <w:rPr>
          <w:rFonts w:ascii="Arial" w:hAnsi="Arial" w:cs="Arial"/>
          <w:sz w:val="18"/>
          <w:szCs w:val="18"/>
        </w:rPr>
        <w:t>de</w:t>
      </w:r>
      <w:r w:rsidRPr="001E36AD">
        <w:rPr>
          <w:rFonts w:ascii="Arial" w:hAnsi="Arial" w:cs="Arial"/>
          <w:sz w:val="18"/>
          <w:szCs w:val="18"/>
        </w:rPr>
        <w:t>l “Programa</w:t>
      </w:r>
      <w:r>
        <w:rPr>
          <w:rFonts w:ascii="Arial" w:hAnsi="Arial" w:cs="Arial"/>
          <w:sz w:val="18"/>
          <w:szCs w:val="18"/>
        </w:rPr>
        <w:t xml:space="preserve"> de Créditos para Unidades</w:t>
      </w:r>
      <w:r w:rsidRPr="001E36AD">
        <w:rPr>
          <w:rFonts w:ascii="Arial" w:hAnsi="Arial" w:cs="Arial"/>
          <w:sz w:val="18"/>
          <w:szCs w:val="18"/>
        </w:rPr>
        <w:t xml:space="preserve"> Productiv</w:t>
      </w:r>
      <w:r>
        <w:rPr>
          <w:rFonts w:ascii="Arial" w:hAnsi="Arial" w:cs="Arial"/>
          <w:sz w:val="18"/>
          <w:szCs w:val="18"/>
        </w:rPr>
        <w:t>a</w:t>
      </w:r>
      <w:r w:rsidRPr="001E36AD">
        <w:rPr>
          <w:rFonts w:ascii="Arial" w:hAnsi="Arial" w:cs="Arial"/>
          <w:sz w:val="18"/>
          <w:szCs w:val="18"/>
        </w:rPr>
        <w:t>s” en los municipios de:</w:t>
      </w:r>
      <w:r>
        <w:rPr>
          <w:rFonts w:ascii="Arial" w:hAnsi="Arial" w:cs="Arial"/>
          <w:sz w:val="18"/>
          <w:szCs w:val="18"/>
        </w:rPr>
        <w:t xml:space="preserve"> Apizaco, Terrenate, Chiautempan, El Carmen Tequexquitla, Muñoz de Domingo Arenas, Huamantla, Yauhquemehcan, Tlaxcala, Mazatecochco de José María Morelos, Xaloztoc, Ixtacuixtla de Mariano Matamoros, Teolocholco, Papalotla de Xicohténcatl, Contla de Juan Cuamatzi,  Yauhquemehcan, San Francisco Tetlanohcan, Zacatelco y Españita, </w:t>
      </w:r>
      <w:r w:rsidRPr="001E36AD">
        <w:rPr>
          <w:rFonts w:ascii="Arial" w:hAnsi="Arial" w:cs="Arial"/>
          <w:sz w:val="18"/>
          <w:szCs w:val="18"/>
        </w:rPr>
        <w:t>brindando atención a</w:t>
      </w:r>
      <w:r>
        <w:rPr>
          <w:rFonts w:ascii="Arial" w:hAnsi="Arial" w:cs="Arial"/>
          <w:sz w:val="18"/>
          <w:szCs w:val="18"/>
        </w:rPr>
        <w:t xml:space="preserve"> 1,417</w:t>
      </w:r>
      <w:r w:rsidRPr="001E36AD">
        <w:rPr>
          <w:rFonts w:ascii="Arial" w:hAnsi="Arial" w:cs="Arial"/>
          <w:sz w:val="18"/>
          <w:szCs w:val="18"/>
        </w:rPr>
        <w:t xml:space="preserve"> personas.</w:t>
      </w:r>
      <w:r>
        <w:rPr>
          <w:rFonts w:ascii="Arial" w:hAnsi="Arial" w:cs="Arial"/>
          <w:sz w:val="18"/>
          <w:szCs w:val="18"/>
        </w:rPr>
        <w:t xml:space="preserve"> </w:t>
      </w:r>
    </w:p>
    <w:p w14:paraId="5A448B77" w14:textId="77777777" w:rsidR="00D17CAD" w:rsidRDefault="00D17CAD" w:rsidP="00D17CAD">
      <w:pPr>
        <w:pStyle w:val="Prrafodelista"/>
        <w:suppressAutoHyphens/>
        <w:autoSpaceDE w:val="0"/>
        <w:autoSpaceDN w:val="0"/>
        <w:adjustRightInd w:val="0"/>
        <w:spacing w:after="0" w:line="240" w:lineRule="auto"/>
        <w:ind w:left="0"/>
        <w:jc w:val="both"/>
        <w:rPr>
          <w:rFonts w:ascii="Arial" w:hAnsi="Arial" w:cs="Arial"/>
          <w:sz w:val="18"/>
          <w:szCs w:val="18"/>
        </w:rPr>
      </w:pPr>
    </w:p>
    <w:p w14:paraId="12A72A07" w14:textId="77777777" w:rsidR="00D17CAD" w:rsidRDefault="00D17CAD" w:rsidP="00D17CAD">
      <w:pPr>
        <w:pStyle w:val="Prrafodelista"/>
        <w:suppressAutoHyphens/>
        <w:autoSpaceDE w:val="0"/>
        <w:autoSpaceDN w:val="0"/>
        <w:adjustRightInd w:val="0"/>
        <w:spacing w:after="0" w:line="240" w:lineRule="auto"/>
        <w:ind w:left="0"/>
        <w:jc w:val="both"/>
        <w:rPr>
          <w:rFonts w:ascii="Arial" w:hAnsi="Arial" w:cs="Arial"/>
          <w:sz w:val="18"/>
          <w:szCs w:val="18"/>
        </w:rPr>
      </w:pPr>
      <w:r>
        <w:rPr>
          <w:rFonts w:ascii="Arial" w:hAnsi="Arial" w:cs="Arial"/>
          <w:sz w:val="18"/>
          <w:szCs w:val="18"/>
        </w:rPr>
        <w:t xml:space="preserve">Del total de créditos, 450 corresponden al Programa “Mujer FOMTLAX”, por un monto total de 6.2 MDP.    </w:t>
      </w:r>
    </w:p>
    <w:p w14:paraId="32040132" w14:textId="77777777" w:rsidR="00D17CAD" w:rsidRDefault="00D17CAD" w:rsidP="00D17CAD">
      <w:pPr>
        <w:pStyle w:val="Prrafodelista"/>
        <w:suppressAutoHyphens/>
        <w:autoSpaceDE w:val="0"/>
        <w:autoSpaceDN w:val="0"/>
        <w:adjustRightInd w:val="0"/>
        <w:spacing w:after="0" w:line="240" w:lineRule="auto"/>
        <w:ind w:left="0"/>
        <w:jc w:val="both"/>
        <w:rPr>
          <w:rFonts w:ascii="Arial" w:hAnsi="Arial" w:cs="Arial"/>
          <w:sz w:val="18"/>
          <w:szCs w:val="18"/>
        </w:rPr>
      </w:pPr>
    </w:p>
    <w:p w14:paraId="5EAEACE9" w14:textId="77777777" w:rsidR="00D17CAD" w:rsidRDefault="00D17CAD" w:rsidP="00D17CAD">
      <w:pPr>
        <w:pStyle w:val="Prrafodelista"/>
        <w:suppressAutoHyphens/>
        <w:autoSpaceDE w:val="0"/>
        <w:autoSpaceDN w:val="0"/>
        <w:adjustRightInd w:val="0"/>
        <w:spacing w:after="0" w:line="240" w:lineRule="auto"/>
        <w:ind w:left="0"/>
        <w:jc w:val="both"/>
        <w:rPr>
          <w:rFonts w:ascii="Arial" w:hAnsi="Arial" w:cs="Arial"/>
          <w:sz w:val="18"/>
          <w:szCs w:val="18"/>
        </w:rPr>
      </w:pPr>
      <w:r>
        <w:rPr>
          <w:rFonts w:ascii="Arial" w:hAnsi="Arial" w:cs="Arial"/>
          <w:sz w:val="18"/>
          <w:szCs w:val="18"/>
        </w:rPr>
        <w:t>Se participó también en los siguientes eventos interinstitucionales de promoción de créditos: “Mercado Joven” (ITJ), “Feria Nacional de Empleo de las Mujeres 2024”, (SNE y SIA), Curso-taller “Modelo de negocios CANVAS” (STyC), “Foro de emprendimiento juvenil” (ICATLAX), “Foro de Proveeduría y Crédito-Mujeres 2024” (SEDECO), “1RA. Feria de Empleo para jóvenes en verano 2024” (SNE Tlaxcala), Conferencia “Desarrollo de E-COMMERCE para emprendedores y microempresas” (STyC), y el evento “Fest Mujer” (IEM);</w:t>
      </w:r>
      <w:r w:rsidRPr="00244BAF">
        <w:rPr>
          <w:rFonts w:ascii="Arial" w:hAnsi="Arial" w:cs="Arial"/>
          <w:sz w:val="18"/>
          <w:szCs w:val="18"/>
        </w:rPr>
        <w:t xml:space="preserve"> </w:t>
      </w:r>
      <w:r>
        <w:rPr>
          <w:rFonts w:ascii="Arial" w:hAnsi="Arial" w:cs="Arial"/>
          <w:sz w:val="18"/>
          <w:szCs w:val="18"/>
        </w:rPr>
        <w:t xml:space="preserve">“Segunda Feria de Financiamiento para el Sector Agropecuario en el Estado de Tlaxcala” (SIA); “Sesión informativa sobre Financiamiento para Emprendedores y Microempresas” (STyC); “Impulso Emprendedor” (ITJ),  “Feria Nacional de Empleo para la Inclusión Laboral de la Juventud 2024” (ITJ), Feria Nacional del Empleo inclusivo (SNE Tlaxcala), “Jornada Nacional de Emprendimiento 2024” (ITJ), “Día Internacional de la eliminación de la violencia contra la mujer” (IEM) y “Feria de atención integral” (IEM) .   </w:t>
      </w:r>
    </w:p>
    <w:p w14:paraId="6E2C4700" w14:textId="77777777" w:rsidR="00D17CAD" w:rsidRDefault="00D17CAD" w:rsidP="00D17CAD">
      <w:pPr>
        <w:pStyle w:val="Prrafodelista"/>
        <w:suppressAutoHyphens/>
        <w:autoSpaceDE w:val="0"/>
        <w:autoSpaceDN w:val="0"/>
        <w:adjustRightInd w:val="0"/>
        <w:spacing w:after="0" w:line="240" w:lineRule="auto"/>
        <w:ind w:left="0"/>
        <w:jc w:val="both"/>
        <w:rPr>
          <w:rFonts w:ascii="Arial" w:hAnsi="Arial" w:cs="Arial"/>
          <w:sz w:val="18"/>
          <w:szCs w:val="18"/>
        </w:rPr>
      </w:pPr>
    </w:p>
    <w:p w14:paraId="33ACBB78" w14:textId="77777777" w:rsidR="00D17CAD" w:rsidRPr="001E36AD" w:rsidRDefault="00D17CAD" w:rsidP="00D17CAD">
      <w:pPr>
        <w:pStyle w:val="Prrafodelista"/>
        <w:suppressAutoHyphens/>
        <w:autoSpaceDE w:val="0"/>
        <w:autoSpaceDN w:val="0"/>
        <w:adjustRightInd w:val="0"/>
        <w:spacing w:after="0" w:line="240" w:lineRule="auto"/>
        <w:ind w:left="0"/>
        <w:jc w:val="both"/>
        <w:rPr>
          <w:rFonts w:ascii="Arial" w:hAnsi="Arial" w:cs="Arial"/>
          <w:sz w:val="18"/>
          <w:szCs w:val="18"/>
        </w:rPr>
      </w:pPr>
      <w:r>
        <w:rPr>
          <w:rFonts w:ascii="Arial" w:hAnsi="Arial" w:cs="Arial"/>
          <w:sz w:val="18"/>
          <w:szCs w:val="18"/>
        </w:rPr>
        <w:t>Del mes de enero al mes de septiembre, se llevaron a cabo  dos sesiones ordinarias y una extraordinaria del Consejo de Administración, en las cuales, en la primera, se dio a conocer el nombramiento del Director General del “FOMTLAX”; Ing. Juan Dolores Morales Pluma; así mismo se presentó el Informe Anual de Actividades 2023, así como los estados financieros al cierre del ejercicio 2023 y el programa Operativo Anual 2024; en la segunda, se presentó el Informe del Plan de Acción Financiera para sanear la cartera vencida del “FOMTLAX”, el Informe de Resultados del producto financiero “Microtandas FOMTLAX” y su continuidad; aprobación del producto financiero “Joven Empresario FOMTLAX” y modificación al Reglamento Interior, entre otros.</w:t>
      </w:r>
    </w:p>
    <w:p w14:paraId="04A0B6CD" w14:textId="77777777" w:rsidR="00D17CAD" w:rsidRDefault="00D17CAD" w:rsidP="00D17CAD">
      <w:pPr>
        <w:pStyle w:val="Prrafodelista"/>
        <w:suppressAutoHyphens/>
        <w:autoSpaceDE w:val="0"/>
        <w:autoSpaceDN w:val="0"/>
        <w:adjustRightInd w:val="0"/>
        <w:spacing w:after="0" w:line="240" w:lineRule="auto"/>
        <w:ind w:left="0"/>
        <w:jc w:val="both"/>
        <w:rPr>
          <w:rFonts w:ascii="Arial" w:hAnsi="Arial" w:cs="Arial"/>
          <w:sz w:val="18"/>
          <w:szCs w:val="18"/>
        </w:rPr>
      </w:pPr>
      <w:r w:rsidRPr="004968A5">
        <w:rPr>
          <w:rFonts w:ascii="Arial" w:hAnsi="Arial" w:cs="Arial"/>
          <w:sz w:val="18"/>
          <w:szCs w:val="18"/>
        </w:rPr>
        <w:t>.</w:t>
      </w:r>
    </w:p>
    <w:p w14:paraId="24917F89" w14:textId="77777777" w:rsidR="00D17CAD" w:rsidRDefault="00D17CAD" w:rsidP="00D17CAD">
      <w:pPr>
        <w:pStyle w:val="Prrafodelista"/>
        <w:suppressAutoHyphens/>
        <w:autoSpaceDE w:val="0"/>
        <w:autoSpaceDN w:val="0"/>
        <w:adjustRightInd w:val="0"/>
        <w:spacing w:after="0" w:line="240" w:lineRule="auto"/>
        <w:ind w:left="0"/>
        <w:jc w:val="both"/>
        <w:rPr>
          <w:rFonts w:ascii="Arial" w:hAnsi="Arial" w:cs="Arial"/>
          <w:sz w:val="18"/>
          <w:szCs w:val="18"/>
        </w:rPr>
      </w:pPr>
      <w:r>
        <w:rPr>
          <w:rFonts w:ascii="Arial" w:hAnsi="Arial" w:cs="Arial"/>
          <w:sz w:val="18"/>
          <w:szCs w:val="18"/>
        </w:rPr>
        <w:t>Asimismo, se efectuaron tres sesiones ordinarias</w:t>
      </w:r>
      <w:r w:rsidRPr="00DF1D97">
        <w:rPr>
          <w:rFonts w:ascii="Arial" w:hAnsi="Arial" w:cs="Arial"/>
          <w:sz w:val="18"/>
          <w:szCs w:val="18"/>
        </w:rPr>
        <w:t xml:space="preserve"> del Comité de Control Interno del Fondo Macro para el Desarrollo Integral de Tlaxcala “FOMTLAX”, </w:t>
      </w:r>
      <w:r>
        <w:rPr>
          <w:rFonts w:ascii="Arial" w:hAnsi="Arial" w:cs="Arial"/>
          <w:sz w:val="18"/>
          <w:szCs w:val="18"/>
        </w:rPr>
        <w:t>en las que, en la primera, se presentó el Programa Anual de trabajo 2024 y su seguimiento, así como la reestructuración de los comités</w:t>
      </w:r>
      <w:r w:rsidRPr="00DF1D97">
        <w:rPr>
          <w:rFonts w:ascii="Arial" w:hAnsi="Arial" w:cs="Arial"/>
          <w:sz w:val="18"/>
          <w:szCs w:val="18"/>
        </w:rPr>
        <w:t xml:space="preserve"> </w:t>
      </w:r>
      <w:r>
        <w:rPr>
          <w:rFonts w:ascii="Arial" w:hAnsi="Arial" w:cs="Arial"/>
          <w:sz w:val="18"/>
          <w:szCs w:val="18"/>
        </w:rPr>
        <w:t>que conforman el control interno del Organismo</w:t>
      </w:r>
      <w:r w:rsidRPr="00DF1D97">
        <w:rPr>
          <w:rFonts w:ascii="Arial" w:hAnsi="Arial" w:cs="Arial"/>
          <w:sz w:val="18"/>
          <w:szCs w:val="18"/>
        </w:rPr>
        <w:t>.</w:t>
      </w:r>
      <w:r>
        <w:rPr>
          <w:rFonts w:ascii="Arial" w:hAnsi="Arial" w:cs="Arial"/>
          <w:sz w:val="18"/>
          <w:szCs w:val="18"/>
        </w:rPr>
        <w:t xml:space="preserve"> En la segunda, se analizó el seguimiento del calendario de acciones de los comités internos del Organismo y en la tercera se abordó el seguimiento al cumplimiento de los acuerdos derivados del cronograma de acciones del ejercicio 2024.</w:t>
      </w:r>
    </w:p>
    <w:p w14:paraId="7CD672EC" w14:textId="77777777" w:rsidR="00D17CAD" w:rsidRDefault="00D17CAD" w:rsidP="00D17CAD">
      <w:pPr>
        <w:suppressAutoHyphens/>
        <w:autoSpaceDE w:val="0"/>
        <w:autoSpaceDN w:val="0"/>
        <w:adjustRightInd w:val="0"/>
        <w:spacing w:after="0" w:line="240" w:lineRule="auto"/>
        <w:jc w:val="both"/>
        <w:rPr>
          <w:rFonts w:ascii="Arial" w:hAnsi="Arial" w:cs="Arial"/>
          <w:sz w:val="18"/>
          <w:szCs w:val="18"/>
        </w:rPr>
      </w:pPr>
    </w:p>
    <w:p w14:paraId="4A03C4DD" w14:textId="77777777" w:rsidR="00D17CAD" w:rsidRDefault="00D17CAD" w:rsidP="00D17CAD">
      <w:pPr>
        <w:suppressAutoHyphens/>
        <w:autoSpaceDE w:val="0"/>
        <w:autoSpaceDN w:val="0"/>
        <w:adjustRightInd w:val="0"/>
        <w:spacing w:after="0" w:line="240" w:lineRule="auto"/>
        <w:jc w:val="both"/>
        <w:rPr>
          <w:rFonts w:ascii="Arial" w:hAnsi="Arial" w:cs="Arial"/>
          <w:sz w:val="18"/>
          <w:szCs w:val="18"/>
        </w:rPr>
      </w:pPr>
      <w:r w:rsidRPr="00EF1A2B">
        <w:rPr>
          <w:rFonts w:ascii="Arial" w:hAnsi="Arial" w:cs="Arial"/>
          <w:sz w:val="18"/>
          <w:szCs w:val="18"/>
        </w:rPr>
        <w:t>Personal del “FOMTLAX” recibió los siguientes cursos y capacitaciones: “Reforma Lineamientos Técnicos Generales con los ajustes aprobados por el Sistema Nacional de Transparencia”; (IAIP); “Historia y Cultura Tlaxcalteca” (ICATLAX); ”Socialización del Programa Anual de Verificación al Cumplimiento de las Obligaciones de Transparencia del ejercicio 2024” (Iaip); “Generalidades de la Ley de Transparencia y Acceso a la Información Pública del Estado de Tlaxcala” (Iaip);  Calidad y calidez del servicio público (Oficialía Mayor de Gobierno del Estado); Sistema Integral de Administración de la Cartera “SIAC”</w:t>
      </w:r>
      <w:r>
        <w:rPr>
          <w:rFonts w:ascii="Arial" w:hAnsi="Arial" w:cs="Arial"/>
          <w:sz w:val="18"/>
          <w:szCs w:val="18"/>
        </w:rPr>
        <w:t xml:space="preserve"> y</w:t>
      </w:r>
      <w:r w:rsidRPr="00EF1A2B">
        <w:rPr>
          <w:rFonts w:ascii="Arial" w:hAnsi="Arial" w:cs="Arial"/>
          <w:sz w:val="18"/>
          <w:szCs w:val="18"/>
        </w:rPr>
        <w:t xml:space="preserve"> Ciberseguridad (FOMTLAX”</w:t>
      </w:r>
      <w:r>
        <w:rPr>
          <w:rFonts w:ascii="Arial" w:hAnsi="Arial" w:cs="Arial"/>
          <w:sz w:val="18"/>
          <w:szCs w:val="18"/>
        </w:rPr>
        <w:t>) y “Violencia contra la Mujer”(ICATLAX) y “Diversidad sexual onceava edición” (CEDH), “Administración Básica” y “Desarrollo estratégico de mercado) (ICATLAX)</w:t>
      </w:r>
      <w:r w:rsidRPr="00EF1A2B">
        <w:rPr>
          <w:rFonts w:ascii="Arial" w:hAnsi="Arial" w:cs="Arial"/>
          <w:sz w:val="18"/>
          <w:szCs w:val="18"/>
        </w:rPr>
        <w:t>.</w:t>
      </w:r>
      <w:r>
        <w:rPr>
          <w:rFonts w:ascii="Arial" w:hAnsi="Arial" w:cs="Arial"/>
          <w:sz w:val="18"/>
          <w:szCs w:val="18"/>
        </w:rPr>
        <w:t xml:space="preserve">   </w:t>
      </w:r>
    </w:p>
    <w:p w14:paraId="0DA43951" w14:textId="77777777" w:rsidR="00D17CAD" w:rsidRDefault="00D17CAD" w:rsidP="00D17CAD">
      <w:pPr>
        <w:suppressAutoHyphens/>
        <w:autoSpaceDE w:val="0"/>
        <w:autoSpaceDN w:val="0"/>
        <w:adjustRightInd w:val="0"/>
        <w:spacing w:after="0" w:line="240" w:lineRule="auto"/>
        <w:jc w:val="both"/>
        <w:rPr>
          <w:rFonts w:ascii="Arial" w:hAnsi="Arial" w:cs="Arial"/>
          <w:sz w:val="18"/>
          <w:szCs w:val="18"/>
        </w:rPr>
      </w:pPr>
    </w:p>
    <w:p w14:paraId="70378288" w14:textId="77777777" w:rsidR="00D17CAD" w:rsidRDefault="00D17CAD" w:rsidP="00D17CAD">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La Dirección General del “FOMTLAX”, suscribió los siguientes Convenios de Colaboración con: Instituto Mexicano de Valores S.C.; Instituto Tecnológico de Apizaco; Universidad Politécnica de Tlaxcala y con los municipios de:</w:t>
      </w:r>
      <w:r w:rsidRPr="00455119">
        <w:rPr>
          <w:rFonts w:ascii="Arial" w:hAnsi="Arial" w:cs="Arial"/>
          <w:sz w:val="18"/>
          <w:szCs w:val="18"/>
        </w:rPr>
        <w:t xml:space="preserve"> </w:t>
      </w:r>
      <w:r>
        <w:rPr>
          <w:rFonts w:ascii="Arial" w:hAnsi="Arial" w:cs="Arial"/>
          <w:sz w:val="18"/>
          <w:szCs w:val="18"/>
        </w:rPr>
        <w:t>Teolocholco,</w:t>
      </w:r>
      <w:r w:rsidRPr="00454995">
        <w:rPr>
          <w:rFonts w:ascii="Arial" w:hAnsi="Arial" w:cs="Arial"/>
          <w:sz w:val="18"/>
          <w:szCs w:val="18"/>
        </w:rPr>
        <w:t xml:space="preserve"> </w:t>
      </w:r>
      <w:r>
        <w:rPr>
          <w:rFonts w:ascii="Arial" w:hAnsi="Arial" w:cs="Arial"/>
          <w:sz w:val="18"/>
          <w:szCs w:val="18"/>
        </w:rPr>
        <w:t>Santa Isabel Xiloxoxtla, Ixtacuixtla de Mariano Matamoros, Zacatelco, Españita y Contla de Juan Cuamatzi.</w:t>
      </w:r>
    </w:p>
    <w:p w14:paraId="1C979EC2" w14:textId="77777777" w:rsidR="00D17CAD" w:rsidRDefault="00D17CAD" w:rsidP="00D17CAD">
      <w:pPr>
        <w:shd w:val="clear" w:color="auto" w:fill="FFFFFF"/>
        <w:spacing w:after="90" w:line="240" w:lineRule="auto"/>
        <w:jc w:val="both"/>
        <w:rPr>
          <w:rFonts w:ascii="Arial" w:hAnsi="Arial" w:cs="Arial"/>
          <w:sz w:val="18"/>
          <w:szCs w:val="18"/>
        </w:rPr>
      </w:pPr>
    </w:p>
    <w:p w14:paraId="6114B80D" w14:textId="77777777" w:rsidR="00D17CAD" w:rsidRDefault="00D17CAD" w:rsidP="00D17CAD">
      <w:pPr>
        <w:autoSpaceDE w:val="0"/>
        <w:autoSpaceDN w:val="0"/>
        <w:adjustRightInd w:val="0"/>
        <w:spacing w:after="0" w:line="240" w:lineRule="auto"/>
        <w:jc w:val="both"/>
        <w:rPr>
          <w:rFonts w:ascii="Arial" w:hAnsi="Arial" w:cs="Arial"/>
          <w:sz w:val="18"/>
          <w:szCs w:val="18"/>
        </w:rPr>
      </w:pPr>
      <w:r w:rsidRPr="00820592">
        <w:rPr>
          <w:rFonts w:ascii="Arial" w:hAnsi="Arial" w:cs="Arial"/>
          <w:sz w:val="18"/>
          <w:szCs w:val="18"/>
        </w:rPr>
        <w:t xml:space="preserve">Por lo que refiere a la recuperación de la cartera, se continuó con las diversas acciones de tratamientos de cartera a solicitud de acreditados, se llevaron a cabo </w:t>
      </w:r>
      <w:r>
        <w:rPr>
          <w:rFonts w:ascii="Arial" w:hAnsi="Arial" w:cs="Arial"/>
          <w:sz w:val="18"/>
          <w:szCs w:val="18"/>
        </w:rPr>
        <w:t>4,287</w:t>
      </w:r>
      <w:r w:rsidRPr="00820592">
        <w:rPr>
          <w:rFonts w:ascii="Arial" w:hAnsi="Arial" w:cs="Arial"/>
          <w:sz w:val="18"/>
          <w:szCs w:val="18"/>
        </w:rPr>
        <w:t xml:space="preserve"> visitas domiciliarias para entrega de requerimientos de pago, </w:t>
      </w:r>
      <w:r>
        <w:rPr>
          <w:rFonts w:ascii="Arial" w:hAnsi="Arial" w:cs="Arial"/>
          <w:sz w:val="18"/>
          <w:szCs w:val="18"/>
        </w:rPr>
        <w:t>se efectuaron 16,991</w:t>
      </w:r>
      <w:r w:rsidRPr="00820592">
        <w:rPr>
          <w:rFonts w:ascii="Arial" w:hAnsi="Arial" w:cs="Arial"/>
          <w:sz w:val="18"/>
          <w:szCs w:val="18"/>
        </w:rPr>
        <w:t xml:space="preserve"> llamadas telefónicas y se enviaron </w:t>
      </w:r>
      <w:r>
        <w:rPr>
          <w:rFonts w:ascii="Arial" w:hAnsi="Arial" w:cs="Arial"/>
          <w:sz w:val="18"/>
          <w:szCs w:val="18"/>
        </w:rPr>
        <w:t>8,405</w:t>
      </w:r>
      <w:r w:rsidRPr="00820592">
        <w:rPr>
          <w:rFonts w:ascii="Arial" w:hAnsi="Arial" w:cs="Arial"/>
          <w:sz w:val="18"/>
          <w:szCs w:val="18"/>
        </w:rPr>
        <w:t xml:space="preserve"> mensajes a celulares de recordatorio de pago. Del mes de enero al mes de </w:t>
      </w:r>
      <w:r>
        <w:rPr>
          <w:rFonts w:ascii="Arial" w:hAnsi="Arial" w:cs="Arial"/>
          <w:sz w:val="18"/>
          <w:szCs w:val="18"/>
        </w:rPr>
        <w:t xml:space="preserve">diciembre </w:t>
      </w:r>
      <w:r w:rsidRPr="00820592">
        <w:rPr>
          <w:rFonts w:ascii="Arial" w:hAnsi="Arial" w:cs="Arial"/>
          <w:sz w:val="18"/>
          <w:szCs w:val="18"/>
        </w:rPr>
        <w:t xml:space="preserve">se logró un monto de recuperación </w:t>
      </w:r>
      <w:r>
        <w:rPr>
          <w:rFonts w:ascii="Arial" w:hAnsi="Arial" w:cs="Arial"/>
          <w:sz w:val="18"/>
          <w:szCs w:val="18"/>
        </w:rPr>
        <w:t>de</w:t>
      </w:r>
      <w:r w:rsidRPr="00820592">
        <w:rPr>
          <w:rFonts w:ascii="Arial" w:hAnsi="Arial" w:cs="Arial"/>
          <w:sz w:val="18"/>
          <w:szCs w:val="18"/>
        </w:rPr>
        <w:t xml:space="preserve"> </w:t>
      </w:r>
      <w:r>
        <w:rPr>
          <w:rFonts w:ascii="Arial" w:hAnsi="Arial" w:cs="Arial"/>
          <w:sz w:val="18"/>
          <w:szCs w:val="18"/>
        </w:rPr>
        <w:t>48.8</w:t>
      </w:r>
      <w:r w:rsidRPr="00820592">
        <w:rPr>
          <w:rFonts w:ascii="Arial" w:hAnsi="Arial" w:cs="Arial"/>
          <w:sz w:val="18"/>
          <w:szCs w:val="18"/>
        </w:rPr>
        <w:t xml:space="preserve"> MDP.</w:t>
      </w:r>
    </w:p>
    <w:p w14:paraId="0B4E1F4A" w14:textId="77777777" w:rsidR="00C93559" w:rsidRDefault="00C93559" w:rsidP="003B028F">
      <w:pPr>
        <w:autoSpaceDE w:val="0"/>
        <w:autoSpaceDN w:val="0"/>
        <w:adjustRightInd w:val="0"/>
        <w:spacing w:after="0" w:line="240" w:lineRule="auto"/>
        <w:jc w:val="both"/>
        <w:rPr>
          <w:rFonts w:ascii="Arial" w:hAnsi="Arial" w:cs="Arial"/>
          <w:sz w:val="18"/>
          <w:szCs w:val="18"/>
        </w:rPr>
      </w:pPr>
    </w:p>
    <w:p w14:paraId="5B115403" w14:textId="11D414BC" w:rsidR="00F474E9" w:rsidRDefault="00ED65D7" w:rsidP="00F474E9">
      <w:pPr>
        <w:jc w:val="both"/>
        <w:rPr>
          <w:rFonts w:ascii="Arial" w:hAnsi="Arial" w:cs="Arial"/>
          <w:sz w:val="18"/>
          <w:szCs w:val="18"/>
        </w:rPr>
      </w:pPr>
      <w:r w:rsidRPr="00B372A2">
        <w:rPr>
          <w:rFonts w:ascii="Arial" w:eastAsia="Calibri" w:hAnsi="Arial" w:cs="Arial"/>
          <w:sz w:val="18"/>
          <w:szCs w:val="18"/>
        </w:rPr>
        <w:t xml:space="preserve">En cumplimiento a la </w:t>
      </w:r>
      <w:r w:rsidRPr="00B372A2">
        <w:rPr>
          <w:rFonts w:ascii="Arial" w:eastAsia="Calibri" w:hAnsi="Arial" w:cs="Arial"/>
          <w:b/>
          <w:sz w:val="18"/>
          <w:szCs w:val="18"/>
        </w:rPr>
        <w:t>Ley General de Contabilidad Gubernamental</w:t>
      </w:r>
      <w:r w:rsidR="000454EA">
        <w:rPr>
          <w:rFonts w:ascii="Arial" w:eastAsia="Calibri" w:hAnsi="Arial" w:cs="Arial"/>
          <w:b/>
          <w:sz w:val="18"/>
          <w:szCs w:val="18"/>
        </w:rPr>
        <w:t>,</w:t>
      </w:r>
      <w:r w:rsidRPr="00B372A2">
        <w:rPr>
          <w:rFonts w:ascii="Arial" w:eastAsia="Calibri" w:hAnsi="Arial" w:cs="Arial"/>
          <w:sz w:val="18"/>
          <w:szCs w:val="18"/>
        </w:rPr>
        <w:t xml:space="preserve"> artículo 52 </w:t>
      </w:r>
      <w:r w:rsidR="000454EA">
        <w:rPr>
          <w:rFonts w:ascii="Arial" w:eastAsia="Calibri" w:hAnsi="Arial" w:cs="Arial"/>
          <w:sz w:val="18"/>
          <w:szCs w:val="18"/>
        </w:rPr>
        <w:t xml:space="preserve">que </w:t>
      </w:r>
      <w:r w:rsidRPr="00B372A2">
        <w:rPr>
          <w:rFonts w:ascii="Arial" w:eastAsia="Calibri" w:hAnsi="Arial" w:cs="Arial"/>
          <w:sz w:val="18"/>
          <w:szCs w:val="18"/>
        </w:rPr>
        <w:t>establece “</w:t>
      </w:r>
      <w:r w:rsidR="000454EA">
        <w:rPr>
          <w:rFonts w:ascii="Arial" w:eastAsia="Calibri" w:hAnsi="Arial" w:cs="Arial"/>
          <w:sz w:val="18"/>
          <w:szCs w:val="18"/>
        </w:rPr>
        <w:t>L</w:t>
      </w:r>
      <w:r w:rsidRPr="00B372A2">
        <w:rPr>
          <w:rFonts w:ascii="Arial" w:eastAsia="Calibri"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r w:rsidR="00B372A2" w:rsidRPr="00B372A2">
        <w:rPr>
          <w:rFonts w:ascii="Arial" w:eastAsia="Calibri" w:hAnsi="Arial" w:cs="Arial"/>
          <w:sz w:val="18"/>
          <w:szCs w:val="18"/>
        </w:rPr>
        <w:t xml:space="preserve">. </w:t>
      </w:r>
      <w:r w:rsidR="00B372A2" w:rsidRPr="00B372A2">
        <w:rPr>
          <w:rFonts w:ascii="Arial" w:hAnsi="Arial" w:cs="Arial"/>
          <w:sz w:val="18"/>
          <w:szCs w:val="18"/>
        </w:rPr>
        <w:t>Los entes públicos deberán elaborar los estados de conformidad con las disposiciones normativas y técnicas que emanen de esta Ley o que emita el consejo</w:t>
      </w:r>
      <w:r w:rsidR="00B372A2">
        <w:rPr>
          <w:rFonts w:ascii="Arial" w:hAnsi="Arial" w:cs="Arial"/>
          <w:sz w:val="18"/>
          <w:szCs w:val="18"/>
        </w:rPr>
        <w:t>…</w:t>
      </w:r>
      <w:r w:rsidRPr="00B372A2">
        <w:rPr>
          <w:rFonts w:ascii="Arial" w:eastAsia="Calibri" w:hAnsi="Arial" w:cs="Arial"/>
          <w:sz w:val="18"/>
          <w:szCs w:val="18"/>
        </w:rPr>
        <w:t xml:space="preserve">”, </w:t>
      </w:r>
      <w:r w:rsidR="00F474E9" w:rsidRPr="00B372A2">
        <w:rPr>
          <w:rFonts w:ascii="Arial" w:eastAsia="Calibri" w:hAnsi="Arial" w:cs="Arial"/>
          <w:sz w:val="18"/>
          <w:szCs w:val="18"/>
        </w:rPr>
        <w:t xml:space="preserve"> al </w:t>
      </w:r>
      <w:r w:rsidRPr="00B372A2">
        <w:rPr>
          <w:rFonts w:ascii="Arial" w:hAnsi="Arial" w:cs="Arial"/>
          <w:b/>
          <w:sz w:val="18"/>
          <w:szCs w:val="18"/>
        </w:rPr>
        <w:t xml:space="preserve">Acuerdo </w:t>
      </w:r>
      <w:r w:rsidR="00F474E9" w:rsidRPr="00B372A2">
        <w:rPr>
          <w:rFonts w:ascii="Arial" w:hAnsi="Arial" w:cs="Arial"/>
          <w:b/>
          <w:sz w:val="18"/>
          <w:szCs w:val="18"/>
        </w:rPr>
        <w:t>emitido por el Consejo Nacional de Armonización Contable</w:t>
      </w:r>
      <w:r w:rsidR="00F474E9" w:rsidRPr="00B372A2">
        <w:rPr>
          <w:rFonts w:ascii="Arial" w:hAnsi="Arial" w:cs="Arial"/>
          <w:sz w:val="18"/>
          <w:szCs w:val="18"/>
        </w:rPr>
        <w:t xml:space="preserve"> (CONAC) con fecha 30 de diciembre de 2013,  a través del cual</w:t>
      </w:r>
      <w:r w:rsidRPr="00B372A2">
        <w:rPr>
          <w:rFonts w:ascii="Arial" w:hAnsi="Arial" w:cs="Arial"/>
          <w:sz w:val="18"/>
          <w:szCs w:val="18"/>
        </w:rPr>
        <w:t xml:space="preserve"> se armoniza la estructura de las cuentas públicas, cuyo objeto es 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r w:rsidR="00F474E9" w:rsidRPr="00B372A2">
        <w:rPr>
          <w:rFonts w:ascii="Arial" w:hAnsi="Arial" w:cs="Arial"/>
          <w:sz w:val="18"/>
          <w:szCs w:val="18"/>
        </w:rPr>
        <w:t xml:space="preserve">, </w:t>
      </w:r>
      <w:r w:rsidR="009E16FC" w:rsidRPr="00B372A2">
        <w:rPr>
          <w:rFonts w:ascii="Arial" w:hAnsi="Arial" w:cs="Arial"/>
          <w:sz w:val="18"/>
          <w:szCs w:val="18"/>
        </w:rPr>
        <w:t xml:space="preserve">y a la </w:t>
      </w:r>
      <w:r w:rsidR="009E16FC" w:rsidRPr="00B372A2">
        <w:rPr>
          <w:rFonts w:ascii="Arial" w:hAnsi="Arial" w:cs="Arial"/>
          <w:b/>
          <w:sz w:val="18"/>
          <w:szCs w:val="18"/>
        </w:rPr>
        <w:t>Ley de Disciplina Financiera</w:t>
      </w:r>
      <w:r w:rsidR="000454EA">
        <w:rPr>
          <w:rFonts w:ascii="Arial" w:hAnsi="Arial" w:cs="Arial"/>
          <w:b/>
          <w:sz w:val="18"/>
          <w:szCs w:val="18"/>
        </w:rPr>
        <w:t>,</w:t>
      </w:r>
      <w:r w:rsidR="009E16FC" w:rsidRPr="00B372A2">
        <w:rPr>
          <w:rFonts w:ascii="Arial" w:hAnsi="Arial" w:cs="Arial"/>
          <w:sz w:val="18"/>
          <w:szCs w:val="18"/>
        </w:rPr>
        <w:t xml:space="preserve"> artículo 58 </w:t>
      </w:r>
      <w:r w:rsidR="000454EA">
        <w:rPr>
          <w:rFonts w:ascii="Arial" w:hAnsi="Arial" w:cs="Arial"/>
          <w:sz w:val="18"/>
          <w:szCs w:val="18"/>
        </w:rPr>
        <w:t xml:space="preserve">que </w:t>
      </w:r>
      <w:r w:rsidR="009E16FC" w:rsidRPr="00B372A2">
        <w:rPr>
          <w:rFonts w:ascii="Arial" w:hAnsi="Arial" w:cs="Arial"/>
          <w:sz w:val="18"/>
          <w:szCs w:val="18"/>
        </w:rPr>
        <w:t>establece “Los Entes Públicos se sujetarán a la Ley General de Contabilidad Gubernamental para presentar la información financiera en los informes periódicos correspondientes y en su respectiva Cuenta Pública…” s</w:t>
      </w:r>
      <w:r w:rsidR="00F474E9" w:rsidRPr="00B372A2">
        <w:rPr>
          <w:rFonts w:ascii="Arial" w:hAnsi="Arial" w:cs="Arial"/>
          <w:sz w:val="18"/>
          <w:szCs w:val="18"/>
        </w:rPr>
        <w:t xml:space="preserve">e </w:t>
      </w:r>
      <w:r w:rsidR="000454EA">
        <w:rPr>
          <w:rFonts w:ascii="Arial" w:hAnsi="Arial" w:cs="Arial"/>
          <w:sz w:val="18"/>
          <w:szCs w:val="18"/>
        </w:rPr>
        <w:t>presenta</w:t>
      </w:r>
      <w:r w:rsidR="00F474E9" w:rsidRPr="00B372A2">
        <w:rPr>
          <w:rFonts w:ascii="Arial" w:hAnsi="Arial" w:cs="Arial"/>
          <w:sz w:val="18"/>
          <w:szCs w:val="18"/>
        </w:rPr>
        <w:t xml:space="preserve"> la </w:t>
      </w:r>
      <w:r w:rsidR="00F474E9" w:rsidRPr="00B372A2">
        <w:rPr>
          <w:rFonts w:ascii="Arial" w:hAnsi="Arial" w:cs="Arial"/>
          <w:b/>
          <w:sz w:val="18"/>
          <w:szCs w:val="18"/>
        </w:rPr>
        <w:t>Cuenta Pública</w:t>
      </w:r>
      <w:r w:rsidR="00F474E9" w:rsidRPr="00B372A2">
        <w:rPr>
          <w:rFonts w:ascii="Arial" w:hAnsi="Arial" w:cs="Arial"/>
          <w:sz w:val="18"/>
          <w:szCs w:val="18"/>
        </w:rPr>
        <w:t xml:space="preserve"> </w:t>
      </w:r>
      <w:r w:rsidR="000454EA">
        <w:rPr>
          <w:rFonts w:ascii="Arial" w:hAnsi="Arial" w:cs="Arial"/>
          <w:sz w:val="18"/>
          <w:szCs w:val="18"/>
        </w:rPr>
        <w:t xml:space="preserve">de este </w:t>
      </w:r>
      <w:r w:rsidR="000454EA" w:rsidRPr="000454EA">
        <w:rPr>
          <w:rFonts w:ascii="Arial" w:hAnsi="Arial" w:cs="Arial"/>
          <w:b/>
          <w:sz w:val="18"/>
          <w:szCs w:val="18"/>
        </w:rPr>
        <w:t>Fondo</w:t>
      </w:r>
      <w:r w:rsidR="000454EA">
        <w:rPr>
          <w:rFonts w:ascii="Arial" w:hAnsi="Arial" w:cs="Arial"/>
          <w:sz w:val="18"/>
          <w:szCs w:val="18"/>
        </w:rPr>
        <w:t xml:space="preserve">, </w:t>
      </w:r>
      <w:r w:rsidR="00F474E9" w:rsidRPr="00B372A2">
        <w:rPr>
          <w:rFonts w:ascii="Arial" w:hAnsi="Arial" w:cs="Arial"/>
          <w:sz w:val="18"/>
          <w:szCs w:val="18"/>
        </w:rPr>
        <w:t>conforme a lo</w:t>
      </w:r>
      <w:r w:rsidR="000454EA">
        <w:rPr>
          <w:rFonts w:ascii="Arial" w:hAnsi="Arial" w:cs="Arial"/>
          <w:sz w:val="18"/>
          <w:szCs w:val="18"/>
        </w:rPr>
        <w:t>s</w:t>
      </w:r>
      <w:r w:rsidR="00F474E9" w:rsidRPr="00B372A2">
        <w:rPr>
          <w:rFonts w:ascii="Arial" w:hAnsi="Arial" w:cs="Arial"/>
          <w:sz w:val="18"/>
          <w:szCs w:val="18"/>
        </w:rPr>
        <w:t xml:space="preserve"> siguiente</w:t>
      </w:r>
      <w:r w:rsidR="000454EA">
        <w:rPr>
          <w:rFonts w:ascii="Arial" w:hAnsi="Arial" w:cs="Arial"/>
          <w:sz w:val="18"/>
          <w:szCs w:val="18"/>
        </w:rPr>
        <w:t>s apartados</w:t>
      </w:r>
      <w:r w:rsidR="00F474E9" w:rsidRPr="00B372A2">
        <w:rPr>
          <w:rFonts w:ascii="Arial" w:hAnsi="Arial" w:cs="Arial"/>
          <w:sz w:val="18"/>
          <w:szCs w:val="18"/>
        </w:rPr>
        <w:t>:</w:t>
      </w:r>
    </w:p>
    <w:p w14:paraId="6C070C25" w14:textId="77777777" w:rsidR="00A71207" w:rsidRDefault="00A71207" w:rsidP="00F474E9">
      <w:pPr>
        <w:jc w:val="both"/>
        <w:rPr>
          <w:rFonts w:ascii="Arial" w:hAnsi="Arial" w:cs="Arial"/>
          <w:sz w:val="18"/>
          <w:szCs w:val="18"/>
        </w:rPr>
      </w:pPr>
    </w:p>
    <w:p w14:paraId="42D0DFEA" w14:textId="33DC8413"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Introducción</w:t>
      </w:r>
    </w:p>
    <w:p w14:paraId="622AF244" w14:textId="63477179" w:rsidR="00AD791F" w:rsidRPr="00A71207" w:rsidRDefault="00AD791F" w:rsidP="00AD791F">
      <w:pPr>
        <w:pStyle w:val="Prrafodelista"/>
        <w:spacing w:line="360" w:lineRule="auto"/>
        <w:jc w:val="both"/>
        <w:rPr>
          <w:rFonts w:ascii="Arial" w:hAnsi="Arial" w:cs="Arial"/>
          <w:b/>
          <w:sz w:val="17"/>
          <w:szCs w:val="17"/>
        </w:rPr>
      </w:pPr>
    </w:p>
    <w:p w14:paraId="249D07E0"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Información Contable</w:t>
      </w:r>
    </w:p>
    <w:p w14:paraId="3743E8CD"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Actividades</w:t>
      </w:r>
    </w:p>
    <w:p w14:paraId="4346E4CD"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Situación Financiera</w:t>
      </w:r>
    </w:p>
    <w:p w14:paraId="11C46EA2"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Cambios en la Situación Financiera</w:t>
      </w:r>
    </w:p>
    <w:p w14:paraId="37D4EE61"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Analítico del Activo</w:t>
      </w:r>
    </w:p>
    <w:p w14:paraId="7EC9DB8C"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Analítico de la Deuda y Otros Pasivos</w:t>
      </w:r>
    </w:p>
    <w:p w14:paraId="20F881AC"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Variación de la Hacienda Pública</w:t>
      </w:r>
    </w:p>
    <w:p w14:paraId="7893680A"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Flujos de Efectivo</w:t>
      </w:r>
    </w:p>
    <w:p w14:paraId="4A0B4F8D"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Informe de Pasivos Contingentes</w:t>
      </w:r>
    </w:p>
    <w:p w14:paraId="2EF7C13F"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a los Estados Financieros</w:t>
      </w:r>
    </w:p>
    <w:p w14:paraId="71BD4C60"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Desglose</w:t>
      </w:r>
    </w:p>
    <w:p w14:paraId="0627EB73"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Memoria (cuentas de orden)</w:t>
      </w:r>
    </w:p>
    <w:p w14:paraId="448055E5"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Gestión Administrativa</w:t>
      </w:r>
    </w:p>
    <w:p w14:paraId="1FBE73DA" w14:textId="77777777" w:rsidR="006E1FB7" w:rsidRDefault="006E1FB7" w:rsidP="00AD791F">
      <w:pPr>
        <w:pStyle w:val="Prrafodelista"/>
        <w:spacing w:line="360" w:lineRule="auto"/>
        <w:ind w:left="1440"/>
        <w:jc w:val="both"/>
        <w:rPr>
          <w:rFonts w:ascii="Arial" w:hAnsi="Arial" w:cs="Arial"/>
          <w:b/>
          <w:sz w:val="17"/>
          <w:szCs w:val="17"/>
        </w:rPr>
      </w:pPr>
    </w:p>
    <w:p w14:paraId="6FE52BC1"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lastRenderedPageBreak/>
        <w:t>Información Presupuestaria</w:t>
      </w:r>
    </w:p>
    <w:p w14:paraId="45CC7F8D"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 Ingresos (por rubro y por fuente de financiamiento)</w:t>
      </w:r>
    </w:p>
    <w:p w14:paraId="5146288D"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Presupuesto de Egresos Clasificación Administrativa</w:t>
      </w:r>
    </w:p>
    <w:p w14:paraId="0B8E8B62"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por Objeto del Gasto (capitulo y concepto)</w:t>
      </w:r>
    </w:p>
    <w:p w14:paraId="7685E020"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Económica (por tipo de gasto)</w:t>
      </w:r>
    </w:p>
    <w:p w14:paraId="08F42E4E"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Funcional (Finalidad y Función)</w:t>
      </w:r>
    </w:p>
    <w:p w14:paraId="1AA1116C"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Endeudamiento Neto</w:t>
      </w:r>
    </w:p>
    <w:p w14:paraId="302620B8"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Intereses de Deuda</w:t>
      </w:r>
    </w:p>
    <w:p w14:paraId="41C20D6F" w14:textId="77777777" w:rsidR="00AD791F" w:rsidRPr="00A71207" w:rsidRDefault="00AD791F" w:rsidP="00AD791F">
      <w:pPr>
        <w:pStyle w:val="Prrafodelista"/>
        <w:numPr>
          <w:ilvl w:val="0"/>
          <w:numId w:val="8"/>
        </w:numPr>
        <w:spacing w:line="360" w:lineRule="auto"/>
        <w:jc w:val="both"/>
        <w:rPr>
          <w:rFonts w:ascii="Arial" w:hAnsi="Arial" w:cs="Arial"/>
          <w:sz w:val="17"/>
          <w:szCs w:val="17"/>
        </w:rPr>
      </w:pPr>
      <w:r w:rsidRPr="00A71207">
        <w:rPr>
          <w:rFonts w:ascii="Arial" w:hAnsi="Arial" w:cs="Arial"/>
          <w:sz w:val="17"/>
          <w:szCs w:val="17"/>
        </w:rPr>
        <w:t>Indicadores de Postura Fiscal</w:t>
      </w:r>
    </w:p>
    <w:p w14:paraId="3A7197E0" w14:textId="32DC37FB" w:rsidR="00A71207" w:rsidRDefault="00A71207" w:rsidP="00AD791F">
      <w:pPr>
        <w:pStyle w:val="Prrafodelista"/>
        <w:spacing w:line="360" w:lineRule="auto"/>
        <w:ind w:left="1080"/>
        <w:jc w:val="both"/>
        <w:rPr>
          <w:rFonts w:ascii="Arial" w:hAnsi="Arial" w:cs="Arial"/>
          <w:sz w:val="17"/>
          <w:szCs w:val="17"/>
        </w:rPr>
      </w:pPr>
    </w:p>
    <w:p w14:paraId="6ADED82E" w14:textId="77777777" w:rsidR="00AD791F" w:rsidRPr="00A71207" w:rsidRDefault="00AD791F" w:rsidP="00067787">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Información Programática</w:t>
      </w:r>
    </w:p>
    <w:p w14:paraId="0218550D" w14:textId="77777777"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Gastos por Categoría Programática</w:t>
      </w:r>
    </w:p>
    <w:p w14:paraId="7A837C68" w14:textId="77777777"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Programas y Proyectos de Inversión</w:t>
      </w:r>
    </w:p>
    <w:p w14:paraId="214893D4" w14:textId="75D49CF2"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Indicadores de Resultados</w:t>
      </w:r>
    </w:p>
    <w:p w14:paraId="7895E5A0" w14:textId="77777777" w:rsidR="00FF41A1" w:rsidRDefault="00FF41A1" w:rsidP="00FF41A1">
      <w:pPr>
        <w:pStyle w:val="Prrafodelista"/>
        <w:tabs>
          <w:tab w:val="left" w:pos="1134"/>
        </w:tabs>
        <w:spacing w:line="360" w:lineRule="auto"/>
        <w:jc w:val="both"/>
        <w:rPr>
          <w:rFonts w:ascii="Arial" w:hAnsi="Arial" w:cs="Arial"/>
          <w:b/>
          <w:sz w:val="17"/>
          <w:szCs w:val="17"/>
        </w:rPr>
      </w:pPr>
    </w:p>
    <w:p w14:paraId="77EFF290"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Anexos</w:t>
      </w:r>
    </w:p>
    <w:p w14:paraId="4B397586"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b/>
          <w:sz w:val="17"/>
          <w:szCs w:val="17"/>
        </w:rPr>
      </w:pPr>
      <w:r w:rsidRPr="00A71207">
        <w:rPr>
          <w:rFonts w:ascii="Arial" w:hAnsi="Arial" w:cs="Arial"/>
          <w:sz w:val="17"/>
          <w:szCs w:val="17"/>
        </w:rPr>
        <w:t>Relación de Bienes Muebles que Componen el Patrimonio</w:t>
      </w:r>
    </w:p>
    <w:p w14:paraId="765E6F37"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sz w:val="17"/>
          <w:szCs w:val="17"/>
        </w:rPr>
      </w:pPr>
      <w:r w:rsidRPr="00A71207">
        <w:rPr>
          <w:rFonts w:ascii="Arial" w:hAnsi="Arial" w:cs="Arial"/>
          <w:sz w:val="17"/>
          <w:szCs w:val="17"/>
        </w:rPr>
        <w:t>Relación de Bienes Inmuebles que Componen el Patrimonio</w:t>
      </w:r>
    </w:p>
    <w:p w14:paraId="1FDD9382"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sz w:val="17"/>
          <w:szCs w:val="17"/>
        </w:rPr>
      </w:pPr>
      <w:r w:rsidRPr="00A71207">
        <w:rPr>
          <w:rFonts w:ascii="Arial" w:hAnsi="Arial" w:cs="Arial"/>
          <w:sz w:val="17"/>
          <w:szCs w:val="17"/>
        </w:rPr>
        <w:t>Relación de Cuentas Bancarias Productivas Especificas</w:t>
      </w:r>
    </w:p>
    <w:p w14:paraId="246FD94D" w14:textId="77777777" w:rsidR="004137E3" w:rsidRPr="00A71207" w:rsidRDefault="00AD791F"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hAnsi="Arial" w:cs="Arial"/>
          <w:sz w:val="17"/>
          <w:szCs w:val="17"/>
        </w:rPr>
        <w:t>Relación de Esquemas Bursátiles y de Coberturas Financieras</w:t>
      </w:r>
    </w:p>
    <w:p w14:paraId="0698D022" w14:textId="3599756C" w:rsidR="00B43C7F" w:rsidRPr="00A71207" w:rsidRDefault="00067787"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 xml:space="preserve">Balanza de Comprobación. </w:t>
      </w:r>
    </w:p>
    <w:p w14:paraId="037CD7E4" w14:textId="09F55A1F" w:rsidR="004137E3" w:rsidRPr="00A71207" w:rsidRDefault="004137E3"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Auxiliares Contables</w:t>
      </w:r>
    </w:p>
    <w:p w14:paraId="2F755396" w14:textId="69AD801D"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Bancos</w:t>
      </w:r>
    </w:p>
    <w:p w14:paraId="431473EA" w14:textId="6BA77CDC"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Conciliaciones Bancarias</w:t>
      </w:r>
      <w:r w:rsidR="004137E3" w:rsidRPr="00A71207">
        <w:rPr>
          <w:rFonts w:ascii="Arial" w:eastAsia="Times New Roman" w:hAnsi="Arial" w:cs="Arial"/>
          <w:sz w:val="17"/>
          <w:szCs w:val="17"/>
        </w:rPr>
        <w:t xml:space="preserve"> y Estados de cuenta Bancaria</w:t>
      </w:r>
    </w:p>
    <w:p w14:paraId="6E6546FC" w14:textId="5616142A" w:rsidR="004137E3" w:rsidRPr="00A71207" w:rsidRDefault="004137E3" w:rsidP="004137E3">
      <w:pPr>
        <w:numPr>
          <w:ilvl w:val="0"/>
          <w:numId w:val="16"/>
        </w:numPr>
        <w:spacing w:after="0" w:line="360" w:lineRule="auto"/>
        <w:rPr>
          <w:rFonts w:ascii="Arial" w:eastAsia="Times New Roman" w:hAnsi="Arial" w:cs="Arial"/>
          <w:sz w:val="17"/>
          <w:szCs w:val="17"/>
        </w:rPr>
      </w:pPr>
      <w:bookmarkStart w:id="0" w:name="_Hlk36026404"/>
      <w:bookmarkStart w:id="1" w:name="_Hlk36027996"/>
      <w:r w:rsidRPr="00A71207">
        <w:rPr>
          <w:rFonts w:ascii="Arial" w:eastAsia="Times New Roman" w:hAnsi="Arial" w:cs="Arial"/>
          <w:sz w:val="17"/>
          <w:szCs w:val="17"/>
        </w:rPr>
        <w:t>Estado Presupuestario de Ingresos desagregado por concepto</w:t>
      </w:r>
      <w:bookmarkStart w:id="2" w:name="_Hlk107994875"/>
      <w:r w:rsidR="00380130">
        <w:rPr>
          <w:rFonts w:ascii="Arial" w:eastAsia="Times New Roman" w:hAnsi="Arial" w:cs="Arial"/>
          <w:sz w:val="17"/>
          <w:szCs w:val="17"/>
        </w:rPr>
        <w:t>. (Trimestral y acumulado)</w:t>
      </w:r>
    </w:p>
    <w:bookmarkEnd w:id="0"/>
    <w:bookmarkEnd w:id="2"/>
    <w:p w14:paraId="40BCBD37" w14:textId="1E5849BF" w:rsidR="004137E3" w:rsidRPr="00A71207" w:rsidRDefault="004137E3" w:rsidP="004137E3">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Estado Presupuestario de Egresos desagregado por partida, del periodo y acumulado</w:t>
      </w:r>
      <w:r w:rsidR="00380130">
        <w:rPr>
          <w:rFonts w:ascii="Arial" w:eastAsia="Times New Roman" w:hAnsi="Arial" w:cs="Arial"/>
          <w:sz w:val="17"/>
          <w:szCs w:val="17"/>
        </w:rPr>
        <w:t>. (Trimestral y acumulado)</w:t>
      </w:r>
    </w:p>
    <w:p w14:paraId="05E3266E" w14:textId="456C7D4F" w:rsidR="004137E3" w:rsidRPr="00A71207" w:rsidRDefault="004137E3"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Avance del Programa Operativo Anual</w:t>
      </w:r>
    </w:p>
    <w:p w14:paraId="6E1007DA" w14:textId="566745EA" w:rsidR="004137E3" w:rsidRPr="00A71207" w:rsidRDefault="004137E3"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Inventario de Bienes Muebles, Inmuebles e Intangibles, clasificado y cuantificado</w:t>
      </w:r>
    </w:p>
    <w:p w14:paraId="3AE65CA4" w14:textId="75B27792" w:rsidR="00067787" w:rsidRPr="00A71207" w:rsidRDefault="00067787" w:rsidP="004137E3">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Ingresos Trimestral</w:t>
      </w:r>
      <w:r w:rsidR="00380130">
        <w:rPr>
          <w:rFonts w:ascii="Arial" w:eastAsia="Times New Roman" w:hAnsi="Arial" w:cs="Arial"/>
          <w:sz w:val="17"/>
          <w:szCs w:val="17"/>
        </w:rPr>
        <w:t xml:space="preserve"> y Acumulado</w:t>
      </w:r>
    </w:p>
    <w:p w14:paraId="327CD9CB" w14:textId="58E25057"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Egresos Trimestral</w:t>
      </w:r>
      <w:r w:rsidR="00380130">
        <w:rPr>
          <w:rFonts w:ascii="Arial" w:eastAsia="Times New Roman" w:hAnsi="Arial" w:cs="Arial"/>
          <w:sz w:val="17"/>
          <w:szCs w:val="17"/>
        </w:rPr>
        <w:t xml:space="preserve"> y Acumulado</w:t>
      </w:r>
    </w:p>
    <w:p w14:paraId="1BD1E286" w14:textId="7D410FD6"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Plantilla de Personal</w:t>
      </w:r>
      <w:r w:rsidR="004137E3" w:rsidRPr="00A71207">
        <w:rPr>
          <w:rFonts w:ascii="Arial" w:eastAsia="Times New Roman" w:hAnsi="Arial" w:cs="Arial"/>
          <w:sz w:val="17"/>
          <w:szCs w:val="17"/>
        </w:rPr>
        <w:t xml:space="preserve"> Trimestral</w:t>
      </w:r>
    </w:p>
    <w:p w14:paraId="54DBBEC5" w14:textId="299712C1" w:rsidR="00067787" w:rsidRPr="00A71207" w:rsidRDefault="004137E3" w:rsidP="00B43C7F">
      <w:pPr>
        <w:numPr>
          <w:ilvl w:val="0"/>
          <w:numId w:val="16"/>
        </w:numPr>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 xml:space="preserve">Libro </w:t>
      </w:r>
      <w:r w:rsidR="00067787" w:rsidRPr="00A71207">
        <w:rPr>
          <w:rFonts w:ascii="Arial" w:eastAsia="Times New Roman" w:hAnsi="Arial" w:cs="Arial"/>
          <w:sz w:val="17"/>
          <w:szCs w:val="17"/>
        </w:rPr>
        <w:t>Diario.</w:t>
      </w:r>
    </w:p>
    <w:p w14:paraId="23B731AF" w14:textId="77777777" w:rsidR="00FF41A1" w:rsidRPr="00A71207" w:rsidRDefault="00FF41A1" w:rsidP="00FF41A1">
      <w:pPr>
        <w:spacing w:after="0" w:line="360" w:lineRule="auto"/>
        <w:ind w:left="1068"/>
        <w:jc w:val="both"/>
        <w:rPr>
          <w:rFonts w:ascii="Arial" w:eastAsia="Times New Roman" w:hAnsi="Arial" w:cs="Arial"/>
          <w:sz w:val="17"/>
          <w:szCs w:val="17"/>
        </w:rPr>
      </w:pPr>
    </w:p>
    <w:bookmarkEnd w:id="1"/>
    <w:p w14:paraId="609D01A2"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Formatos de Disciplina Financiera</w:t>
      </w:r>
    </w:p>
    <w:p w14:paraId="0254954C" w14:textId="77777777" w:rsidR="00042519" w:rsidRPr="00A71207" w:rsidRDefault="00042519" w:rsidP="00C762B8">
      <w:pPr>
        <w:pStyle w:val="Texto"/>
        <w:numPr>
          <w:ilvl w:val="0"/>
          <w:numId w:val="13"/>
        </w:numPr>
        <w:spacing w:line="240" w:lineRule="auto"/>
        <w:ind w:left="1077" w:hanging="357"/>
        <w:rPr>
          <w:b/>
          <w:sz w:val="17"/>
          <w:szCs w:val="17"/>
        </w:rPr>
      </w:pPr>
      <w:r w:rsidRPr="00A71207">
        <w:rPr>
          <w:b/>
          <w:sz w:val="17"/>
          <w:szCs w:val="17"/>
        </w:rPr>
        <w:t xml:space="preserve">Formato 1   </w:t>
      </w:r>
      <w:r w:rsidRPr="00A71207">
        <w:rPr>
          <w:sz w:val="17"/>
          <w:szCs w:val="17"/>
        </w:rPr>
        <w:t>Estado de Situación Financiera Detallado - LDF</w:t>
      </w:r>
    </w:p>
    <w:p w14:paraId="77AA3568" w14:textId="77777777" w:rsidR="00042519" w:rsidRPr="00A71207" w:rsidRDefault="00042519" w:rsidP="00C762B8">
      <w:pPr>
        <w:pStyle w:val="Prrafodelista"/>
        <w:numPr>
          <w:ilvl w:val="0"/>
          <w:numId w:val="13"/>
        </w:numPr>
        <w:spacing w:after="0" w:line="240" w:lineRule="auto"/>
        <w:ind w:left="1077" w:hanging="357"/>
        <w:rPr>
          <w:rFonts w:ascii="Arial" w:eastAsia="Times New Roman" w:hAnsi="Arial" w:cs="Arial"/>
          <w:b/>
          <w:sz w:val="17"/>
          <w:szCs w:val="17"/>
        </w:rPr>
      </w:pPr>
      <w:r w:rsidRPr="00A71207">
        <w:rPr>
          <w:rFonts w:ascii="Arial" w:eastAsia="Times New Roman" w:hAnsi="Arial" w:cs="Arial"/>
          <w:b/>
          <w:sz w:val="17"/>
          <w:szCs w:val="17"/>
        </w:rPr>
        <w:t xml:space="preserve">Formato 2   </w:t>
      </w:r>
      <w:r w:rsidRPr="00A71207">
        <w:rPr>
          <w:rFonts w:ascii="Arial" w:eastAsia="Times New Roman" w:hAnsi="Arial" w:cs="Arial"/>
          <w:sz w:val="17"/>
          <w:szCs w:val="17"/>
        </w:rPr>
        <w:t>Informe Analítico de la Deuda Pública y Otros Pasivos – LDF</w:t>
      </w:r>
    </w:p>
    <w:p w14:paraId="57DC6EE0" w14:textId="77777777"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 xml:space="preserve">Formato 3  </w:t>
      </w:r>
      <w:r w:rsidRPr="00A71207">
        <w:rPr>
          <w:rFonts w:ascii="Arial" w:eastAsia="Times New Roman" w:hAnsi="Arial" w:cs="Arial"/>
          <w:sz w:val="17"/>
          <w:szCs w:val="17"/>
        </w:rPr>
        <w:t xml:space="preserve"> Informe Analítico de Obligaciones Diferentes de Financiamientos – LDF</w:t>
      </w:r>
    </w:p>
    <w:p w14:paraId="2BDF985A" w14:textId="1CAE99C8"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Formato 4</w:t>
      </w:r>
      <w:r w:rsidR="00C762B8" w:rsidRPr="00A71207">
        <w:rPr>
          <w:rFonts w:ascii="Arial" w:eastAsia="Times New Roman" w:hAnsi="Arial" w:cs="Arial"/>
          <w:b/>
          <w:sz w:val="17"/>
          <w:szCs w:val="17"/>
        </w:rPr>
        <w:t xml:space="preserve">  </w:t>
      </w:r>
      <w:r w:rsidRPr="00A71207">
        <w:rPr>
          <w:rFonts w:ascii="Arial" w:eastAsia="Times New Roman" w:hAnsi="Arial" w:cs="Arial"/>
          <w:sz w:val="17"/>
          <w:szCs w:val="17"/>
        </w:rPr>
        <w:t xml:space="preserve"> Balance Presupuestario – LDF</w:t>
      </w:r>
    </w:p>
    <w:p w14:paraId="45324982" w14:textId="66D9F0D5"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Formato 5</w:t>
      </w:r>
      <w:r w:rsidRPr="00A71207">
        <w:rPr>
          <w:rFonts w:ascii="Arial" w:eastAsia="Times New Roman" w:hAnsi="Arial" w:cs="Arial"/>
          <w:sz w:val="17"/>
          <w:szCs w:val="17"/>
        </w:rPr>
        <w:t xml:space="preserve"> </w:t>
      </w:r>
      <w:r w:rsidR="00C762B8" w:rsidRPr="00A71207">
        <w:rPr>
          <w:rFonts w:ascii="Arial" w:eastAsia="Times New Roman" w:hAnsi="Arial" w:cs="Arial"/>
          <w:sz w:val="17"/>
          <w:szCs w:val="17"/>
        </w:rPr>
        <w:t xml:space="preserve">  </w:t>
      </w:r>
      <w:r w:rsidRPr="00A71207">
        <w:rPr>
          <w:rFonts w:ascii="Arial" w:eastAsia="Times New Roman" w:hAnsi="Arial" w:cs="Arial"/>
          <w:sz w:val="17"/>
          <w:szCs w:val="17"/>
        </w:rPr>
        <w:t>Estado Analítico de Ingresos Detallado – LDF</w:t>
      </w:r>
    </w:p>
    <w:p w14:paraId="2F11613C" w14:textId="76D20C64" w:rsidR="00042519" w:rsidRPr="00A71207" w:rsidRDefault="00042519" w:rsidP="00C762B8">
      <w:pPr>
        <w:pStyle w:val="Texto"/>
        <w:numPr>
          <w:ilvl w:val="0"/>
          <w:numId w:val="13"/>
        </w:numPr>
        <w:spacing w:after="0" w:line="240" w:lineRule="auto"/>
        <w:ind w:left="1077" w:hanging="357"/>
        <w:rPr>
          <w:b/>
          <w:sz w:val="17"/>
          <w:szCs w:val="17"/>
        </w:rPr>
      </w:pPr>
      <w:r w:rsidRPr="00A71207">
        <w:rPr>
          <w:b/>
          <w:sz w:val="17"/>
          <w:szCs w:val="17"/>
        </w:rPr>
        <w:t xml:space="preserve">Formato 6a </w:t>
      </w:r>
      <w:r w:rsidRPr="00A71207">
        <w:rPr>
          <w:sz w:val="17"/>
          <w:szCs w:val="17"/>
        </w:rPr>
        <w:t>Estado Analítico del Ejercicio del Presupuesto de Egresos Detallado – LDF (Clasificación por Objeto del Gasto)</w:t>
      </w:r>
    </w:p>
    <w:p w14:paraId="57632CD8" w14:textId="6D784B5B" w:rsidR="00042519" w:rsidRPr="00A71207" w:rsidRDefault="00042519" w:rsidP="00C762B8">
      <w:pPr>
        <w:pStyle w:val="Texto"/>
        <w:numPr>
          <w:ilvl w:val="0"/>
          <w:numId w:val="13"/>
        </w:numPr>
        <w:tabs>
          <w:tab w:val="left" w:pos="1620"/>
        </w:tabs>
        <w:spacing w:line="240" w:lineRule="auto"/>
        <w:ind w:left="1077" w:hanging="357"/>
        <w:rPr>
          <w:sz w:val="17"/>
          <w:szCs w:val="17"/>
        </w:rPr>
      </w:pPr>
      <w:r w:rsidRPr="00A71207">
        <w:rPr>
          <w:b/>
          <w:sz w:val="17"/>
          <w:szCs w:val="17"/>
        </w:rPr>
        <w:t xml:space="preserve">Formato 6b </w:t>
      </w:r>
      <w:r w:rsidRPr="00A71207">
        <w:rPr>
          <w:sz w:val="17"/>
          <w:szCs w:val="17"/>
        </w:rPr>
        <w:t>Estado Analítico del Ejercicio del Presupuesto de Egresos Detallado – LDF (Clasificación Administrativa)</w:t>
      </w:r>
    </w:p>
    <w:p w14:paraId="5AADDB2B" w14:textId="4BC4FAFD" w:rsidR="00042519" w:rsidRPr="00A71207" w:rsidRDefault="00042519" w:rsidP="00C762B8">
      <w:pPr>
        <w:pStyle w:val="Texto"/>
        <w:numPr>
          <w:ilvl w:val="0"/>
          <w:numId w:val="13"/>
        </w:numPr>
        <w:spacing w:line="240" w:lineRule="auto"/>
        <w:ind w:left="1077" w:hanging="357"/>
        <w:rPr>
          <w:b/>
          <w:sz w:val="17"/>
          <w:szCs w:val="17"/>
        </w:rPr>
      </w:pPr>
      <w:r w:rsidRPr="00A71207">
        <w:rPr>
          <w:b/>
          <w:sz w:val="17"/>
          <w:szCs w:val="17"/>
        </w:rPr>
        <w:t xml:space="preserve">Formato 6c </w:t>
      </w:r>
      <w:r w:rsidRPr="00A71207">
        <w:rPr>
          <w:sz w:val="17"/>
          <w:szCs w:val="17"/>
        </w:rPr>
        <w:t>Estado Analítico del Ejercicio del Presupuesto de Egresos Detallado – LDF (Clasificación Funcional)</w:t>
      </w:r>
    </w:p>
    <w:p w14:paraId="30F8B191" w14:textId="7E37D8A5" w:rsidR="00C762B8" w:rsidRPr="00A71207" w:rsidRDefault="00042519" w:rsidP="00C762B8">
      <w:pPr>
        <w:pStyle w:val="Texto"/>
        <w:numPr>
          <w:ilvl w:val="0"/>
          <w:numId w:val="13"/>
        </w:numPr>
        <w:tabs>
          <w:tab w:val="left" w:pos="1530"/>
        </w:tabs>
        <w:spacing w:line="288" w:lineRule="auto"/>
        <w:ind w:left="1077" w:hanging="357"/>
        <w:rPr>
          <w:rFonts w:cs="Times New Roman"/>
          <w:sz w:val="17"/>
          <w:szCs w:val="17"/>
          <w:lang w:eastAsia="hi-IN"/>
        </w:rPr>
      </w:pPr>
      <w:r w:rsidRPr="00A71207">
        <w:rPr>
          <w:b/>
          <w:sz w:val="17"/>
          <w:szCs w:val="17"/>
        </w:rPr>
        <w:t xml:space="preserve">Formato 6d </w:t>
      </w:r>
      <w:r w:rsidRPr="00A71207">
        <w:rPr>
          <w:sz w:val="17"/>
          <w:szCs w:val="17"/>
        </w:rPr>
        <w:t>Estado Analítico del Ejercicio del Presupues</w:t>
      </w:r>
      <w:bookmarkStart w:id="3" w:name="_GoBack"/>
      <w:bookmarkEnd w:id="3"/>
      <w:r w:rsidRPr="00A71207">
        <w:rPr>
          <w:sz w:val="17"/>
          <w:szCs w:val="17"/>
        </w:rPr>
        <w:t>to de Egresos Detallado – LDF (Clasificación de Servicios Personales por Categoría)</w:t>
      </w:r>
      <w:r w:rsidR="00C762B8" w:rsidRPr="00A71207">
        <w:rPr>
          <w:rFonts w:cs="Times New Roman"/>
          <w:sz w:val="17"/>
          <w:szCs w:val="17"/>
          <w:lang w:eastAsia="hi-IN"/>
        </w:rPr>
        <w:t xml:space="preserve">  </w:t>
      </w:r>
    </w:p>
    <w:sectPr w:rsidR="00C762B8" w:rsidRPr="00A71207" w:rsidSect="00287324">
      <w:headerReference w:type="even" r:id="rId8"/>
      <w:headerReference w:type="default" r:id="rId9"/>
      <w:footerReference w:type="even" r:id="rId10"/>
      <w:footerReference w:type="default" r:id="rId11"/>
      <w:pgSz w:w="15840" w:h="12240" w:orient="landscape"/>
      <w:pgMar w:top="1417" w:right="1701" w:bottom="141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9D2ED" w14:textId="77777777" w:rsidR="00D01254" w:rsidRDefault="00D01254" w:rsidP="00EA5418">
      <w:pPr>
        <w:spacing w:after="0" w:line="240" w:lineRule="auto"/>
      </w:pPr>
      <w:r>
        <w:separator/>
      </w:r>
    </w:p>
  </w:endnote>
  <w:endnote w:type="continuationSeparator" w:id="0">
    <w:p w14:paraId="7CD02D64" w14:textId="77777777" w:rsidR="00D01254" w:rsidRDefault="00D0125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2F44E" w14:textId="44ADD52E" w:rsidR="0013011C" w:rsidRPr="0013011C" w:rsidRDefault="00D01254" w:rsidP="0013011C">
    <w:pPr>
      <w:pStyle w:val="Piedepgina"/>
      <w:jc w:val="center"/>
      <w:rPr>
        <w:rFonts w:ascii="Soberana Sans Light" w:hAnsi="Soberana Sans Light"/>
      </w:rPr>
    </w:pPr>
    <w:r>
      <w:rPr>
        <w:rFonts w:ascii="Soberana Sans Light" w:hAnsi="Soberana Sans Light"/>
        <w:noProof/>
        <w:lang w:eastAsia="es-MX"/>
      </w:rPr>
      <w:pict w14:anchorId="20EE057A">
        <v:line id="12 Conector recto" o:spid="_x0000_s2050" style="position:absolute;left:0;text-align:left;flip:y;z-index:251667456;visibility:visible;mso-width-relative:margin" from="-51.55pt,-2.8pt" to="742.45pt,-1.5pt" strokecolor="#7d3c4a [3209]"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A516D8" w:rsidRPr="0013011C">
          <w:rPr>
            <w:rFonts w:ascii="Soberana Sans Light" w:hAnsi="Soberana Sans Light"/>
          </w:rPr>
          <w:fldChar w:fldCharType="begin"/>
        </w:r>
        <w:r w:rsidR="0013011C" w:rsidRPr="0013011C">
          <w:rPr>
            <w:rFonts w:ascii="Soberana Sans Light" w:hAnsi="Soberana Sans Light"/>
          </w:rPr>
          <w:instrText>PAGE   \* MERGEFORMAT</w:instrText>
        </w:r>
        <w:r w:rsidR="00A516D8" w:rsidRPr="0013011C">
          <w:rPr>
            <w:rFonts w:ascii="Soberana Sans Light" w:hAnsi="Soberana Sans Light"/>
          </w:rPr>
          <w:fldChar w:fldCharType="separate"/>
        </w:r>
        <w:r w:rsidR="00D17CAD" w:rsidRPr="00D17CAD">
          <w:rPr>
            <w:rFonts w:ascii="Soberana Sans Light" w:hAnsi="Soberana Sans Light"/>
            <w:noProof/>
            <w:lang w:val="es-ES"/>
          </w:rPr>
          <w:t>4</w:t>
        </w:r>
        <w:r w:rsidR="00A516D8" w:rsidRPr="0013011C">
          <w:rPr>
            <w:rFonts w:ascii="Soberana Sans Light" w:hAnsi="Soberana Sans Light"/>
          </w:rPr>
          <w:fldChar w:fldCharType="end"/>
        </w:r>
      </w:sdtContent>
    </w:sdt>
  </w:p>
  <w:p w14:paraId="273328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C3BD" w14:textId="4EB7BF9A" w:rsidR="008E3652" w:rsidRPr="008E3652" w:rsidRDefault="00D01254" w:rsidP="008E3652">
    <w:pPr>
      <w:pStyle w:val="Piedepgina"/>
      <w:jc w:val="center"/>
      <w:rPr>
        <w:rFonts w:ascii="Soberana Sans Light" w:hAnsi="Soberana Sans Light"/>
      </w:rPr>
    </w:pPr>
    <w:r>
      <w:rPr>
        <w:rFonts w:ascii="Soberana Sans Light" w:hAnsi="Soberana Sans Light"/>
        <w:noProof/>
        <w:lang w:eastAsia="es-MX"/>
      </w:rPr>
      <w:pict w14:anchorId="6654EB97">
        <v:line id="3 Conector recto" o:spid="_x0000_s2049" style="position:absolute;left:0;text-align:left;flip:y;z-index:251661312;visibility:visible;mso-width-relative:margin" from="-56.25pt,-.7pt" to="737.8pt,.6pt" strokecolor="#6c0f13 [1605]"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A516D8" w:rsidRPr="008E3652">
          <w:rPr>
            <w:rFonts w:ascii="Soberana Sans Light" w:hAnsi="Soberana Sans Light"/>
          </w:rPr>
          <w:fldChar w:fldCharType="begin"/>
        </w:r>
        <w:r w:rsidR="008E3652" w:rsidRPr="008E3652">
          <w:rPr>
            <w:rFonts w:ascii="Soberana Sans Light" w:hAnsi="Soberana Sans Light"/>
          </w:rPr>
          <w:instrText>PAGE   \* MERGEFORMAT</w:instrText>
        </w:r>
        <w:r w:rsidR="00A516D8" w:rsidRPr="008E3652">
          <w:rPr>
            <w:rFonts w:ascii="Soberana Sans Light" w:hAnsi="Soberana Sans Light"/>
          </w:rPr>
          <w:fldChar w:fldCharType="separate"/>
        </w:r>
        <w:r w:rsidR="00D17CAD" w:rsidRPr="00D17CAD">
          <w:rPr>
            <w:rFonts w:ascii="Soberana Sans Light" w:hAnsi="Soberana Sans Light"/>
            <w:noProof/>
            <w:lang w:val="es-ES"/>
          </w:rPr>
          <w:t>3</w:t>
        </w:r>
        <w:r w:rsidR="00A516D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9AEDE" w14:textId="77777777" w:rsidR="00D01254" w:rsidRDefault="00D01254" w:rsidP="00EA5418">
      <w:pPr>
        <w:spacing w:after="0" w:line="240" w:lineRule="auto"/>
      </w:pPr>
      <w:r>
        <w:separator/>
      </w:r>
    </w:p>
  </w:footnote>
  <w:footnote w:type="continuationSeparator" w:id="0">
    <w:p w14:paraId="09BC5FD4" w14:textId="77777777" w:rsidR="00D01254" w:rsidRDefault="00D0125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D436" w14:textId="77777777" w:rsidR="0013011C" w:rsidRDefault="00D01254">
    <w:pPr>
      <w:pStyle w:val="Encabezado"/>
    </w:pPr>
    <w:r>
      <w:rPr>
        <w:noProof/>
        <w:lang w:eastAsia="es-MX"/>
      </w:rPr>
      <w:pict w14:anchorId="6C5AC7DA">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62DEEAA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DBF61C"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D7D5EE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1B18C86A" w14:textId="157C043A"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081D79">
                      <w:rPr>
                        <w:rFonts w:ascii="Soberana Titular" w:hAnsi="Soberana Titular" w:cs="Arial"/>
                        <w:color w:val="808080" w:themeColor="background1" w:themeShade="80"/>
                        <w:sz w:val="42"/>
                        <w:szCs w:val="42"/>
                      </w:rPr>
                      <w:t>2</w:t>
                    </w:r>
                    <w:r w:rsidR="00C93559">
                      <w:rPr>
                        <w:rFonts w:ascii="Soberana Titular" w:hAnsi="Soberana Titular" w:cs="Arial"/>
                        <w:color w:val="808080" w:themeColor="background1" w:themeShade="80"/>
                        <w:sz w:val="42"/>
                        <w:szCs w:val="42"/>
                      </w:rPr>
                      <w:t>4</w:t>
                    </w:r>
                  </w:p>
                  <w:p w14:paraId="20CD47A7"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E428D8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71B1DECB">
        <v:line id="4 Conector recto" o:spid="_x0000_s2052" style="position:absolute;flip:y;z-index:251663360;visibility:visible;mso-width-relative:margin" from="-57.75pt,25.2pt" to="736.25pt,26.5pt" strokecolor="#7d3c4a [3209]" strokeweight="1.5pt"/>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5D78E" w14:textId="77777777" w:rsidR="008E3652" w:rsidRPr="0013011C" w:rsidRDefault="00D01254" w:rsidP="0013011C">
    <w:pPr>
      <w:pStyle w:val="Encabezado"/>
      <w:jc w:val="center"/>
      <w:rPr>
        <w:rFonts w:ascii="Soberana Sans Light" w:hAnsi="Soberana Sans Light"/>
      </w:rPr>
    </w:pPr>
    <w:r>
      <w:rPr>
        <w:rFonts w:ascii="Soberana Sans Light" w:hAnsi="Soberana Sans Light"/>
        <w:noProof/>
        <w:lang w:eastAsia="es-MX"/>
      </w:rPr>
      <w:pict w14:anchorId="4FBD0177">
        <v:line id="1 Conector recto" o:spid="_x0000_s2051" style="position:absolute;left:0;text-align:left;flip:y;z-index:251659264;visibility:visible;mso-width-relative:margin" from="-56.05pt,14.2pt" to="738pt,15.5pt" strokecolor="#6c0f13 [1605]" strokeweight="1.5pt"/>
      </w:pic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797"/>
    <w:multiLevelType w:val="hybridMultilevel"/>
    <w:tmpl w:val="59965ED4"/>
    <w:lvl w:ilvl="0" w:tplc="FC307EE6">
      <w:start w:val="1"/>
      <w:numFmt w:val="lowerLetter"/>
      <w:lvlText w:val="%1)"/>
      <w:lvlJc w:val="left"/>
      <w:pPr>
        <w:ind w:left="644"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9C1244"/>
    <w:multiLevelType w:val="hybridMultilevel"/>
    <w:tmpl w:val="CB18D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51039F8"/>
    <w:multiLevelType w:val="hybridMultilevel"/>
    <w:tmpl w:val="F86E23B4"/>
    <w:lvl w:ilvl="0" w:tplc="A43C0EA4">
      <w:start w:val="1"/>
      <w:numFmt w:val="upperRoman"/>
      <w:lvlText w:val="%1)"/>
      <w:lvlJc w:val="left"/>
      <w:pPr>
        <w:ind w:left="2160" w:hanging="720"/>
      </w:pPr>
      <w:rPr>
        <w:rFonts w:hint="default"/>
        <w:b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1F4432A1"/>
    <w:multiLevelType w:val="hybridMultilevel"/>
    <w:tmpl w:val="744283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037755"/>
    <w:multiLevelType w:val="hybridMultilevel"/>
    <w:tmpl w:val="365E03B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07A736E"/>
    <w:multiLevelType w:val="hybridMultilevel"/>
    <w:tmpl w:val="332A2ED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316C3A9A"/>
    <w:multiLevelType w:val="hybridMultilevel"/>
    <w:tmpl w:val="B24E07E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54250FA"/>
    <w:multiLevelType w:val="hybridMultilevel"/>
    <w:tmpl w:val="BA085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CBC2749"/>
    <w:multiLevelType w:val="hybridMultilevel"/>
    <w:tmpl w:val="ADE840C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3A5961"/>
    <w:multiLevelType w:val="hybridMultilevel"/>
    <w:tmpl w:val="A45E42F8"/>
    <w:lvl w:ilvl="0" w:tplc="B98E028A">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4D969E5"/>
    <w:multiLevelType w:val="hybridMultilevel"/>
    <w:tmpl w:val="476683BC"/>
    <w:lvl w:ilvl="0" w:tplc="1090D70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23178CA"/>
    <w:multiLevelType w:val="hybridMultilevel"/>
    <w:tmpl w:val="2D0A66CA"/>
    <w:lvl w:ilvl="0" w:tplc="A9581064">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9D91D32"/>
    <w:multiLevelType w:val="hybridMultilevel"/>
    <w:tmpl w:val="C428B450"/>
    <w:lvl w:ilvl="0" w:tplc="1090D708">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BE70458"/>
    <w:multiLevelType w:val="hybridMultilevel"/>
    <w:tmpl w:val="CAD87ED8"/>
    <w:lvl w:ilvl="0" w:tplc="1090D708">
      <w:start w:val="1"/>
      <w:numFmt w:val="lowerLetter"/>
      <w:lvlText w:val="%1)"/>
      <w:lvlJc w:val="left"/>
      <w:pPr>
        <w:ind w:left="1440" w:hanging="360"/>
      </w:pPr>
      <w:rPr>
        <w:rFonts w:hint="default"/>
        <w:b/>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1" w15:restartNumberingAfterBreak="0">
    <w:nsid w:val="61F52FB6"/>
    <w:multiLevelType w:val="hybridMultilevel"/>
    <w:tmpl w:val="40B243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5E24FE"/>
    <w:multiLevelType w:val="hybridMultilevel"/>
    <w:tmpl w:val="6EFEA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116FB0"/>
    <w:multiLevelType w:val="hybridMultilevel"/>
    <w:tmpl w:val="B336B5E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74924FCC"/>
    <w:multiLevelType w:val="hybridMultilevel"/>
    <w:tmpl w:val="345E46F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78397A51"/>
    <w:multiLevelType w:val="hybridMultilevel"/>
    <w:tmpl w:val="AB9C07E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6"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3"/>
  </w:num>
  <w:num w:numId="3">
    <w:abstractNumId w:val="12"/>
  </w:num>
  <w:num w:numId="4">
    <w:abstractNumId w:val="7"/>
  </w:num>
  <w:num w:numId="5">
    <w:abstractNumId w:val="6"/>
  </w:num>
  <w:num w:numId="6">
    <w:abstractNumId w:val="17"/>
  </w:num>
  <w:num w:numId="7">
    <w:abstractNumId w:val="26"/>
  </w:num>
  <w:num w:numId="8">
    <w:abstractNumId w:val="19"/>
  </w:num>
  <w:num w:numId="9">
    <w:abstractNumId w:val="14"/>
  </w:num>
  <w:num w:numId="10">
    <w:abstractNumId w:val="0"/>
  </w:num>
  <w:num w:numId="11">
    <w:abstractNumId w:val="9"/>
  </w:num>
  <w:num w:numId="12">
    <w:abstractNumId w:val="4"/>
  </w:num>
  <w:num w:numId="13">
    <w:abstractNumId w:val="15"/>
  </w:num>
  <w:num w:numId="14">
    <w:abstractNumId w:val="18"/>
  </w:num>
  <w:num w:numId="15">
    <w:abstractNumId w:val="21"/>
  </w:num>
  <w:num w:numId="16">
    <w:abstractNumId w:val="16"/>
  </w:num>
  <w:num w:numId="17">
    <w:abstractNumId w:val="25"/>
  </w:num>
  <w:num w:numId="18">
    <w:abstractNumId w:val="20"/>
  </w:num>
  <w:num w:numId="19">
    <w:abstractNumId w:val="11"/>
  </w:num>
  <w:num w:numId="20">
    <w:abstractNumId w:val="22"/>
  </w:num>
  <w:num w:numId="21">
    <w:abstractNumId w:val="2"/>
  </w:num>
  <w:num w:numId="22">
    <w:abstractNumId w:val="23"/>
  </w:num>
  <w:num w:numId="23">
    <w:abstractNumId w:val="10"/>
  </w:num>
  <w:num w:numId="24">
    <w:abstractNumId w:val="5"/>
  </w:num>
  <w:num w:numId="25">
    <w:abstractNumId w:val="13"/>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5951"/>
    <w:rsid w:val="00033845"/>
    <w:rsid w:val="00040466"/>
    <w:rsid w:val="00042519"/>
    <w:rsid w:val="000454EA"/>
    <w:rsid w:val="00054B24"/>
    <w:rsid w:val="00055300"/>
    <w:rsid w:val="00056042"/>
    <w:rsid w:val="00067787"/>
    <w:rsid w:val="00075F11"/>
    <w:rsid w:val="00076A56"/>
    <w:rsid w:val="00081D79"/>
    <w:rsid w:val="000A2A48"/>
    <w:rsid w:val="000A65B1"/>
    <w:rsid w:val="000B3FD4"/>
    <w:rsid w:val="000F6D16"/>
    <w:rsid w:val="00101C5D"/>
    <w:rsid w:val="001137E3"/>
    <w:rsid w:val="0013011C"/>
    <w:rsid w:val="00146E12"/>
    <w:rsid w:val="001646D9"/>
    <w:rsid w:val="00174F20"/>
    <w:rsid w:val="00183FBE"/>
    <w:rsid w:val="00196D0F"/>
    <w:rsid w:val="001A2431"/>
    <w:rsid w:val="001B1B72"/>
    <w:rsid w:val="001F7AA6"/>
    <w:rsid w:val="0020797E"/>
    <w:rsid w:val="002549E7"/>
    <w:rsid w:val="00262EF8"/>
    <w:rsid w:val="002865A7"/>
    <w:rsid w:val="00287324"/>
    <w:rsid w:val="0029674A"/>
    <w:rsid w:val="002A6835"/>
    <w:rsid w:val="002A70B3"/>
    <w:rsid w:val="002D4C8A"/>
    <w:rsid w:val="002E06B4"/>
    <w:rsid w:val="002E5897"/>
    <w:rsid w:val="002F2773"/>
    <w:rsid w:val="00307635"/>
    <w:rsid w:val="0032095C"/>
    <w:rsid w:val="00322A09"/>
    <w:rsid w:val="00343791"/>
    <w:rsid w:val="00355821"/>
    <w:rsid w:val="003575A4"/>
    <w:rsid w:val="003610E0"/>
    <w:rsid w:val="00372F40"/>
    <w:rsid w:val="00380130"/>
    <w:rsid w:val="00387A2B"/>
    <w:rsid w:val="003A6522"/>
    <w:rsid w:val="003B028F"/>
    <w:rsid w:val="003D0D78"/>
    <w:rsid w:val="003D5DBF"/>
    <w:rsid w:val="003E7FD0"/>
    <w:rsid w:val="003F05C2"/>
    <w:rsid w:val="004137E3"/>
    <w:rsid w:val="0044253C"/>
    <w:rsid w:val="00443075"/>
    <w:rsid w:val="00486AE1"/>
    <w:rsid w:val="00497D8B"/>
    <w:rsid w:val="004D0129"/>
    <w:rsid w:val="004D41B8"/>
    <w:rsid w:val="00502D8E"/>
    <w:rsid w:val="005117F4"/>
    <w:rsid w:val="00522632"/>
    <w:rsid w:val="00531310"/>
    <w:rsid w:val="00534982"/>
    <w:rsid w:val="00537B1A"/>
    <w:rsid w:val="00540418"/>
    <w:rsid w:val="00582405"/>
    <w:rsid w:val="005840B5"/>
    <w:rsid w:val="005852BC"/>
    <w:rsid w:val="005859FA"/>
    <w:rsid w:val="00597742"/>
    <w:rsid w:val="005D75D1"/>
    <w:rsid w:val="005E2EB5"/>
    <w:rsid w:val="005F103E"/>
    <w:rsid w:val="005F7589"/>
    <w:rsid w:val="006048D2"/>
    <w:rsid w:val="00611E39"/>
    <w:rsid w:val="00623300"/>
    <w:rsid w:val="006458E9"/>
    <w:rsid w:val="006A4F83"/>
    <w:rsid w:val="006B729B"/>
    <w:rsid w:val="006D291A"/>
    <w:rsid w:val="006E1FB7"/>
    <w:rsid w:val="006E6B8E"/>
    <w:rsid w:val="006E77DD"/>
    <w:rsid w:val="00731430"/>
    <w:rsid w:val="00742E35"/>
    <w:rsid w:val="00746D9B"/>
    <w:rsid w:val="0075717E"/>
    <w:rsid w:val="0079582C"/>
    <w:rsid w:val="007C3C68"/>
    <w:rsid w:val="007D1E43"/>
    <w:rsid w:val="007D6E9A"/>
    <w:rsid w:val="007F4838"/>
    <w:rsid w:val="0082753C"/>
    <w:rsid w:val="0082761D"/>
    <w:rsid w:val="0082781F"/>
    <w:rsid w:val="00850E90"/>
    <w:rsid w:val="00891E2E"/>
    <w:rsid w:val="00897D42"/>
    <w:rsid w:val="00897F46"/>
    <w:rsid w:val="008A6E4D"/>
    <w:rsid w:val="008B0017"/>
    <w:rsid w:val="008B6826"/>
    <w:rsid w:val="008C5A3B"/>
    <w:rsid w:val="008D4272"/>
    <w:rsid w:val="008E3652"/>
    <w:rsid w:val="008F204E"/>
    <w:rsid w:val="00911EF6"/>
    <w:rsid w:val="00965EFE"/>
    <w:rsid w:val="009E16FC"/>
    <w:rsid w:val="009E5258"/>
    <w:rsid w:val="009F62E7"/>
    <w:rsid w:val="00A14B74"/>
    <w:rsid w:val="00A516D8"/>
    <w:rsid w:val="00A71207"/>
    <w:rsid w:val="00A8165C"/>
    <w:rsid w:val="00AB13B7"/>
    <w:rsid w:val="00AC1FDF"/>
    <w:rsid w:val="00AC7243"/>
    <w:rsid w:val="00AD70F5"/>
    <w:rsid w:val="00AD791F"/>
    <w:rsid w:val="00AE59F4"/>
    <w:rsid w:val="00AE642C"/>
    <w:rsid w:val="00B166A9"/>
    <w:rsid w:val="00B17423"/>
    <w:rsid w:val="00B372A2"/>
    <w:rsid w:val="00B42A02"/>
    <w:rsid w:val="00B43C7F"/>
    <w:rsid w:val="00B56B2B"/>
    <w:rsid w:val="00B716BE"/>
    <w:rsid w:val="00B844F0"/>
    <w:rsid w:val="00B849EE"/>
    <w:rsid w:val="00B96907"/>
    <w:rsid w:val="00BD6A5B"/>
    <w:rsid w:val="00BF28A4"/>
    <w:rsid w:val="00C13551"/>
    <w:rsid w:val="00C33401"/>
    <w:rsid w:val="00C419B3"/>
    <w:rsid w:val="00C43968"/>
    <w:rsid w:val="00C44F01"/>
    <w:rsid w:val="00C762B8"/>
    <w:rsid w:val="00C85A3B"/>
    <w:rsid w:val="00C93559"/>
    <w:rsid w:val="00CA09E5"/>
    <w:rsid w:val="00CA2D37"/>
    <w:rsid w:val="00CA7EAA"/>
    <w:rsid w:val="00CB42AC"/>
    <w:rsid w:val="00CC5CB6"/>
    <w:rsid w:val="00D01254"/>
    <w:rsid w:val="00D02A82"/>
    <w:rsid w:val="00D055EC"/>
    <w:rsid w:val="00D17CAD"/>
    <w:rsid w:val="00D25F34"/>
    <w:rsid w:val="00D404ED"/>
    <w:rsid w:val="00D51261"/>
    <w:rsid w:val="00D5675C"/>
    <w:rsid w:val="00D748D3"/>
    <w:rsid w:val="00D75A56"/>
    <w:rsid w:val="00D848D7"/>
    <w:rsid w:val="00DD230F"/>
    <w:rsid w:val="00DE728C"/>
    <w:rsid w:val="00E001B2"/>
    <w:rsid w:val="00E038C1"/>
    <w:rsid w:val="00E32708"/>
    <w:rsid w:val="00E45FD0"/>
    <w:rsid w:val="00E81959"/>
    <w:rsid w:val="00EA5418"/>
    <w:rsid w:val="00EB215E"/>
    <w:rsid w:val="00EC28F3"/>
    <w:rsid w:val="00ED65D7"/>
    <w:rsid w:val="00F474E9"/>
    <w:rsid w:val="00F745E7"/>
    <w:rsid w:val="00F96944"/>
    <w:rsid w:val="00FA3FB9"/>
    <w:rsid w:val="00FA5247"/>
    <w:rsid w:val="00FB24F8"/>
    <w:rsid w:val="00FD5667"/>
    <w:rsid w:val="00FF4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A3FF203"/>
  <w15:docId w15:val="{4035D058-9DAD-4E6C-BE51-25B63B81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F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Default">
    <w:name w:val="Default"/>
    <w:rsid w:val="00196D0F"/>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196D0F"/>
    <w:pPr>
      <w:spacing w:after="0" w:line="240" w:lineRule="auto"/>
    </w:pPr>
    <w:rPr>
      <w:rFonts w:eastAsia="Batang"/>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F41A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5169">
      <w:bodyDiv w:val="1"/>
      <w:marLeft w:val="0"/>
      <w:marRight w:val="0"/>
      <w:marTop w:val="0"/>
      <w:marBottom w:val="0"/>
      <w:divBdr>
        <w:top w:val="none" w:sz="0" w:space="0" w:color="auto"/>
        <w:left w:val="none" w:sz="0" w:space="0" w:color="auto"/>
        <w:bottom w:val="none" w:sz="0" w:space="0" w:color="auto"/>
        <w:right w:val="none" w:sz="0" w:space="0" w:color="auto"/>
      </w:divBdr>
    </w:div>
    <w:div w:id="208686187">
      <w:bodyDiv w:val="1"/>
      <w:marLeft w:val="0"/>
      <w:marRight w:val="0"/>
      <w:marTop w:val="0"/>
      <w:marBottom w:val="0"/>
      <w:divBdr>
        <w:top w:val="none" w:sz="0" w:space="0" w:color="auto"/>
        <w:left w:val="none" w:sz="0" w:space="0" w:color="auto"/>
        <w:bottom w:val="none" w:sz="0" w:space="0" w:color="auto"/>
        <w:right w:val="none" w:sz="0" w:space="0" w:color="auto"/>
      </w:divBdr>
    </w:div>
    <w:div w:id="429934142">
      <w:bodyDiv w:val="1"/>
      <w:marLeft w:val="0"/>
      <w:marRight w:val="0"/>
      <w:marTop w:val="0"/>
      <w:marBottom w:val="0"/>
      <w:divBdr>
        <w:top w:val="none" w:sz="0" w:space="0" w:color="auto"/>
        <w:left w:val="none" w:sz="0" w:space="0" w:color="auto"/>
        <w:bottom w:val="none" w:sz="0" w:space="0" w:color="auto"/>
        <w:right w:val="none" w:sz="0" w:space="0" w:color="auto"/>
      </w:divBdr>
    </w:div>
    <w:div w:id="536939048">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914163990">
      <w:bodyDiv w:val="1"/>
      <w:marLeft w:val="0"/>
      <w:marRight w:val="0"/>
      <w:marTop w:val="0"/>
      <w:marBottom w:val="0"/>
      <w:divBdr>
        <w:top w:val="none" w:sz="0" w:space="0" w:color="auto"/>
        <w:left w:val="none" w:sz="0" w:space="0" w:color="auto"/>
        <w:bottom w:val="none" w:sz="0" w:space="0" w:color="auto"/>
        <w:right w:val="none" w:sz="0" w:space="0" w:color="auto"/>
      </w:divBdr>
    </w:div>
    <w:div w:id="1354188826">
      <w:bodyDiv w:val="1"/>
      <w:marLeft w:val="0"/>
      <w:marRight w:val="0"/>
      <w:marTop w:val="0"/>
      <w:marBottom w:val="0"/>
      <w:divBdr>
        <w:top w:val="none" w:sz="0" w:space="0" w:color="auto"/>
        <w:left w:val="none" w:sz="0" w:space="0" w:color="auto"/>
        <w:bottom w:val="none" w:sz="0" w:space="0" w:color="auto"/>
        <w:right w:val="none" w:sz="0" w:space="0" w:color="auto"/>
      </w:divBdr>
    </w:div>
    <w:div w:id="1702244150">
      <w:bodyDiv w:val="1"/>
      <w:marLeft w:val="0"/>
      <w:marRight w:val="0"/>
      <w:marTop w:val="0"/>
      <w:marBottom w:val="0"/>
      <w:divBdr>
        <w:top w:val="none" w:sz="0" w:space="0" w:color="auto"/>
        <w:left w:val="none" w:sz="0" w:space="0" w:color="auto"/>
        <w:bottom w:val="none" w:sz="0" w:space="0" w:color="auto"/>
        <w:right w:val="none" w:sz="0" w:space="0" w:color="auto"/>
      </w:divBdr>
    </w:div>
    <w:div w:id="1860704902">
      <w:bodyDiv w:val="1"/>
      <w:marLeft w:val="0"/>
      <w:marRight w:val="0"/>
      <w:marTop w:val="0"/>
      <w:marBottom w:val="0"/>
      <w:divBdr>
        <w:top w:val="none" w:sz="0" w:space="0" w:color="auto"/>
        <w:left w:val="none" w:sz="0" w:space="0" w:color="auto"/>
        <w:bottom w:val="none" w:sz="0" w:space="0" w:color="auto"/>
        <w:right w:val="none" w:sz="0" w:space="0" w:color="auto"/>
      </w:divBdr>
    </w:div>
    <w:div w:id="1944989955">
      <w:bodyDiv w:val="1"/>
      <w:marLeft w:val="0"/>
      <w:marRight w:val="0"/>
      <w:marTop w:val="0"/>
      <w:marBottom w:val="0"/>
      <w:divBdr>
        <w:top w:val="none" w:sz="0" w:space="0" w:color="auto"/>
        <w:left w:val="none" w:sz="0" w:space="0" w:color="auto"/>
        <w:bottom w:val="none" w:sz="0" w:space="0" w:color="auto"/>
        <w:right w:val="none" w:sz="0" w:space="0" w:color="auto"/>
      </w:divBdr>
    </w:div>
    <w:div w:id="19500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Concurrencia">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628AB-97FB-4787-B347-0C55EE46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Pages>
  <Words>1431</Words>
  <Characters>7875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Oficina Contabilidad</cp:lastModifiedBy>
  <cp:revision>66</cp:revision>
  <cp:lastPrinted>2024-01-08T15:13:00Z</cp:lastPrinted>
  <dcterms:created xsi:type="dcterms:W3CDTF">2014-09-01T14:30:00Z</dcterms:created>
  <dcterms:modified xsi:type="dcterms:W3CDTF">2024-12-31T19:34:00Z</dcterms:modified>
</cp:coreProperties>
</file>