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106FFB" w:rsidP="005117F4">
      <w:bookmarkStart w:id="0" w:name="_GoBack"/>
      <w:bookmarkEnd w:id="0"/>
      <w:r>
        <w:t xml:space="preserve"> </w:t>
      </w:r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</w:t>
      </w:r>
      <w:r w:rsidR="002B1650">
        <w:rPr>
          <w:rFonts w:ascii="Arial" w:hAnsi="Arial" w:cs="Arial"/>
          <w:sz w:val="18"/>
          <w:szCs w:val="18"/>
        </w:rPr>
        <w:t>2</w:t>
      </w:r>
      <w:r w:rsidR="00AD635B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</w:t>
      </w:r>
      <w:r w:rsidR="000365FB">
        <w:rPr>
          <w:rFonts w:ascii="Arial" w:hAnsi="Arial" w:cs="Arial"/>
          <w:color w:val="auto"/>
          <w:sz w:val="18"/>
          <w:szCs w:val="18"/>
          <w:lang w:val="es-ES_tradnl"/>
        </w:rPr>
        <w:t>, se convierte en Secretaría de Cultura y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AD635B">
        <w:rPr>
          <w:rFonts w:ascii="Arial" w:hAnsi="Arial" w:cs="Arial"/>
          <w:sz w:val="18"/>
          <w:szCs w:val="18"/>
        </w:rPr>
        <w:t>9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="000365FB">
        <w:rPr>
          <w:rFonts w:ascii="Arial" w:hAnsi="Arial" w:cs="Arial"/>
          <w:sz w:val="18"/>
          <w:szCs w:val="18"/>
        </w:rPr>
        <w:t xml:space="preserve"> y caravanas artísticas en los distintos municipios de nuestro estado.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</w:t>
      </w:r>
      <w:r w:rsidR="000365FB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ahora Secretaría de Cultura, </w:t>
      </w: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>Este es el ritmo de trabajo que con el que continuaremos trabajando para incidir en nuestra sociedad y reforzar sus elementos de cohesión soci</w:t>
      </w:r>
      <w:r w:rsidR="00CC67CD">
        <w:rPr>
          <w:rFonts w:ascii="Arial" w:hAnsi="Arial" w:cs="Arial"/>
          <w:color w:val="auto"/>
          <w:sz w:val="18"/>
          <w:szCs w:val="18"/>
        </w:rPr>
        <w:t>al, tal como nos ha instruido la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Gobernador</w:t>
      </w:r>
      <w:r w:rsidR="00CC67CD">
        <w:rPr>
          <w:rFonts w:ascii="Arial" w:hAnsi="Arial" w:cs="Arial"/>
          <w:color w:val="auto"/>
          <w:sz w:val="18"/>
          <w:szCs w:val="18"/>
        </w:rPr>
        <w:t>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</w:t>
      </w:r>
      <w:r w:rsidR="00CC67CD">
        <w:rPr>
          <w:rFonts w:ascii="Arial" w:hAnsi="Arial" w:cs="Arial"/>
          <w:color w:val="auto"/>
          <w:sz w:val="18"/>
          <w:szCs w:val="18"/>
        </w:rPr>
        <w:t>Lorena Cuellar Cisneros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A2" w:rsidRDefault="00891BA2" w:rsidP="00EA5418">
      <w:pPr>
        <w:spacing w:after="0" w:line="240" w:lineRule="auto"/>
      </w:pPr>
      <w:r>
        <w:separator/>
      </w:r>
    </w:p>
  </w:endnote>
  <w:endnote w:type="continuationSeparator" w:id="0">
    <w:p w:rsidR="00891BA2" w:rsidRDefault="00891BA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976979" w:rsidRPr="00976979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976979" w:rsidRPr="00976979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A2" w:rsidRDefault="00891BA2" w:rsidP="00EA5418">
      <w:pPr>
        <w:spacing w:after="0" w:line="240" w:lineRule="auto"/>
      </w:pPr>
      <w:r>
        <w:separator/>
      </w:r>
    </w:p>
  </w:footnote>
  <w:footnote w:type="continuationSeparator" w:id="0">
    <w:p w:rsidR="00891BA2" w:rsidRDefault="00891BA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0365F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D63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0365F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D63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35E19"/>
    <w:rsid w:val="000365FB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95487"/>
    <w:rsid w:val="001B1B72"/>
    <w:rsid w:val="001B33F3"/>
    <w:rsid w:val="001F7AD0"/>
    <w:rsid w:val="002369A7"/>
    <w:rsid w:val="0024225B"/>
    <w:rsid w:val="00252935"/>
    <w:rsid w:val="00285336"/>
    <w:rsid w:val="002865A7"/>
    <w:rsid w:val="00290841"/>
    <w:rsid w:val="00295733"/>
    <w:rsid w:val="002A70B3"/>
    <w:rsid w:val="002B1650"/>
    <w:rsid w:val="002C09E1"/>
    <w:rsid w:val="002E27D6"/>
    <w:rsid w:val="002E5897"/>
    <w:rsid w:val="00307635"/>
    <w:rsid w:val="00316E90"/>
    <w:rsid w:val="00327DF6"/>
    <w:rsid w:val="00331845"/>
    <w:rsid w:val="003509F6"/>
    <w:rsid w:val="00355821"/>
    <w:rsid w:val="003575A4"/>
    <w:rsid w:val="00357EBB"/>
    <w:rsid w:val="003610E0"/>
    <w:rsid w:val="00372756"/>
    <w:rsid w:val="00372F40"/>
    <w:rsid w:val="00392818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7470A"/>
    <w:rsid w:val="00582405"/>
    <w:rsid w:val="005859FA"/>
    <w:rsid w:val="005B5CB3"/>
    <w:rsid w:val="005E371C"/>
    <w:rsid w:val="006048D2"/>
    <w:rsid w:val="0060691C"/>
    <w:rsid w:val="0060693E"/>
    <w:rsid w:val="00611E39"/>
    <w:rsid w:val="00631132"/>
    <w:rsid w:val="00660066"/>
    <w:rsid w:val="00675D77"/>
    <w:rsid w:val="006B729B"/>
    <w:rsid w:val="006E6B8E"/>
    <w:rsid w:val="006E77DD"/>
    <w:rsid w:val="006F1F8B"/>
    <w:rsid w:val="00700AD5"/>
    <w:rsid w:val="00711D91"/>
    <w:rsid w:val="00714235"/>
    <w:rsid w:val="00714E8E"/>
    <w:rsid w:val="00720797"/>
    <w:rsid w:val="007223E0"/>
    <w:rsid w:val="0074123C"/>
    <w:rsid w:val="00767744"/>
    <w:rsid w:val="007762B0"/>
    <w:rsid w:val="0078172D"/>
    <w:rsid w:val="007942BE"/>
    <w:rsid w:val="0079582C"/>
    <w:rsid w:val="007D23E1"/>
    <w:rsid w:val="007D6E9A"/>
    <w:rsid w:val="007E3AA4"/>
    <w:rsid w:val="00810904"/>
    <w:rsid w:val="0081288C"/>
    <w:rsid w:val="00814E41"/>
    <w:rsid w:val="008210FB"/>
    <w:rsid w:val="00824627"/>
    <w:rsid w:val="00827F1E"/>
    <w:rsid w:val="0084430D"/>
    <w:rsid w:val="00850E90"/>
    <w:rsid w:val="00891BA2"/>
    <w:rsid w:val="008A6E4D"/>
    <w:rsid w:val="008B0017"/>
    <w:rsid w:val="008C76A1"/>
    <w:rsid w:val="008D4272"/>
    <w:rsid w:val="008D6D60"/>
    <w:rsid w:val="008E3652"/>
    <w:rsid w:val="0090194E"/>
    <w:rsid w:val="00912C26"/>
    <w:rsid w:val="00976979"/>
    <w:rsid w:val="009B33B2"/>
    <w:rsid w:val="009C1071"/>
    <w:rsid w:val="009D1A87"/>
    <w:rsid w:val="009E1F12"/>
    <w:rsid w:val="009E77CD"/>
    <w:rsid w:val="00A123FA"/>
    <w:rsid w:val="00A14B74"/>
    <w:rsid w:val="00A470AE"/>
    <w:rsid w:val="00A80962"/>
    <w:rsid w:val="00A839D4"/>
    <w:rsid w:val="00A9434A"/>
    <w:rsid w:val="00AB13B7"/>
    <w:rsid w:val="00AB2C11"/>
    <w:rsid w:val="00AD2606"/>
    <w:rsid w:val="00AD635B"/>
    <w:rsid w:val="00B11164"/>
    <w:rsid w:val="00B17423"/>
    <w:rsid w:val="00B17B9B"/>
    <w:rsid w:val="00B345B0"/>
    <w:rsid w:val="00B42A02"/>
    <w:rsid w:val="00B60C92"/>
    <w:rsid w:val="00B74B3A"/>
    <w:rsid w:val="00B849EE"/>
    <w:rsid w:val="00B9029B"/>
    <w:rsid w:val="00B96B66"/>
    <w:rsid w:val="00BB2C8E"/>
    <w:rsid w:val="00BC30AB"/>
    <w:rsid w:val="00C26C43"/>
    <w:rsid w:val="00C35191"/>
    <w:rsid w:val="00C375BC"/>
    <w:rsid w:val="00C44AA1"/>
    <w:rsid w:val="00C44F01"/>
    <w:rsid w:val="00C94C3A"/>
    <w:rsid w:val="00CA2D37"/>
    <w:rsid w:val="00CA7DB4"/>
    <w:rsid w:val="00CC5CB6"/>
    <w:rsid w:val="00CC67CD"/>
    <w:rsid w:val="00CE3D70"/>
    <w:rsid w:val="00CF1843"/>
    <w:rsid w:val="00D055EC"/>
    <w:rsid w:val="00D06759"/>
    <w:rsid w:val="00D14ABF"/>
    <w:rsid w:val="00D26DA0"/>
    <w:rsid w:val="00D26F32"/>
    <w:rsid w:val="00D404ED"/>
    <w:rsid w:val="00D474BA"/>
    <w:rsid w:val="00D51261"/>
    <w:rsid w:val="00D748D3"/>
    <w:rsid w:val="00D842A2"/>
    <w:rsid w:val="00D85EEF"/>
    <w:rsid w:val="00D92AF4"/>
    <w:rsid w:val="00DB3FEC"/>
    <w:rsid w:val="00DC0390"/>
    <w:rsid w:val="00DC58B8"/>
    <w:rsid w:val="00DC7B3D"/>
    <w:rsid w:val="00DD230F"/>
    <w:rsid w:val="00DD2FEA"/>
    <w:rsid w:val="00E0621A"/>
    <w:rsid w:val="00E248CE"/>
    <w:rsid w:val="00E32708"/>
    <w:rsid w:val="00E42F4D"/>
    <w:rsid w:val="00E46952"/>
    <w:rsid w:val="00E56ED8"/>
    <w:rsid w:val="00E6007F"/>
    <w:rsid w:val="00E61BE4"/>
    <w:rsid w:val="00E93DA9"/>
    <w:rsid w:val="00EA5418"/>
    <w:rsid w:val="00EC70FA"/>
    <w:rsid w:val="00ED41A0"/>
    <w:rsid w:val="00ED7F77"/>
    <w:rsid w:val="00F16DC3"/>
    <w:rsid w:val="00F45734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0F18-C5E4-4E88-8DCC-D03A823B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pc171024</cp:lastModifiedBy>
  <cp:revision>2</cp:revision>
  <cp:lastPrinted>2023-04-03T16:54:00Z</cp:lastPrinted>
  <dcterms:created xsi:type="dcterms:W3CDTF">2025-01-03T17:00:00Z</dcterms:created>
  <dcterms:modified xsi:type="dcterms:W3CDTF">2025-01-03T17:00:00Z</dcterms:modified>
</cp:coreProperties>
</file>