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3DC49" w14:textId="0A85CE2E" w:rsidR="00182E26" w:rsidRDefault="00182E26" w:rsidP="00182E26">
      <w:pPr>
        <w:spacing w:line="360" w:lineRule="auto"/>
        <w:jc w:val="center"/>
        <w:rPr>
          <w:b/>
          <w:sz w:val="20"/>
          <w:szCs w:val="20"/>
        </w:rPr>
      </w:pPr>
      <w:r>
        <w:rPr>
          <w:b/>
          <w:sz w:val="20"/>
          <w:szCs w:val="20"/>
        </w:rPr>
        <w:t>CRITERIOS DE POLÍTICA ECONÓMICA DEL ESTADO DE TLAXCALA</w:t>
      </w:r>
      <w:r w:rsidR="00D959D7">
        <w:rPr>
          <w:b/>
          <w:sz w:val="20"/>
          <w:szCs w:val="20"/>
        </w:rPr>
        <w:t>, PARA EL EJERCICIO FISCAL 202</w:t>
      </w:r>
      <w:r w:rsidR="00883C61">
        <w:rPr>
          <w:b/>
          <w:sz w:val="20"/>
          <w:szCs w:val="20"/>
        </w:rPr>
        <w:t>5</w:t>
      </w:r>
    </w:p>
    <w:p w14:paraId="52C774B1" w14:textId="68336D20" w:rsidR="00815F22" w:rsidRPr="00CE2445" w:rsidRDefault="00815F22" w:rsidP="00182E26">
      <w:pPr>
        <w:spacing w:line="360" w:lineRule="auto"/>
        <w:jc w:val="center"/>
        <w:rPr>
          <w:b/>
          <w:sz w:val="20"/>
          <w:szCs w:val="20"/>
        </w:rPr>
      </w:pPr>
    </w:p>
    <w:p w14:paraId="7677AD53" w14:textId="623DE49C" w:rsidR="00FB1EE0" w:rsidRPr="00CE2445" w:rsidRDefault="00FB1EE0" w:rsidP="00CE2445">
      <w:pPr>
        <w:spacing w:line="360" w:lineRule="auto"/>
        <w:jc w:val="both"/>
        <w:rPr>
          <w:rFonts w:eastAsia="Calibri"/>
          <w:sz w:val="20"/>
          <w:szCs w:val="20"/>
        </w:rPr>
      </w:pPr>
    </w:p>
    <w:p w14:paraId="2A4DB895" w14:textId="77777777" w:rsidR="00CE2445" w:rsidRPr="00CE2445" w:rsidRDefault="00CE2445" w:rsidP="00D50246">
      <w:pPr>
        <w:pStyle w:val="PRIMERAPLANA"/>
        <w:numPr>
          <w:ilvl w:val="0"/>
          <w:numId w:val="13"/>
        </w:numPr>
        <w:ind w:left="709"/>
        <w:rPr>
          <w:rFonts w:ascii="Times New Roman" w:hAnsi="Times New Roman"/>
          <w:b/>
        </w:rPr>
      </w:pPr>
      <w:r w:rsidRPr="00CE2445">
        <w:rPr>
          <w:rFonts w:ascii="Times New Roman" w:hAnsi="Times New Roman"/>
          <w:b/>
        </w:rPr>
        <w:t>INTRODUCCIÓN</w:t>
      </w:r>
    </w:p>
    <w:p w14:paraId="02AEEB39" w14:textId="77777777" w:rsidR="00CE2445" w:rsidRPr="00CE2445" w:rsidRDefault="00CE2445" w:rsidP="00CE2445">
      <w:pPr>
        <w:pStyle w:val="PRIMERAPLANA"/>
        <w:spacing w:line="360" w:lineRule="auto"/>
        <w:rPr>
          <w:rFonts w:ascii="Times New Roman" w:hAnsi="Times New Roman"/>
          <w:bCs/>
          <w:lang w:val="es-MX"/>
        </w:rPr>
      </w:pPr>
    </w:p>
    <w:p w14:paraId="0B829AF0"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Los Criterios de Política Económica del Estado de Tlaxcala, para el Ejercicio Fiscal 2025, son elaborados y entregados por el Ejecutivo del Estado al Congreso del Estado, con el objeto de facilitar el análisis de las Iniciativas de Ley de Ingresos, así como del Decreto de Presupuesto de Egresos del Estado de Tlaxcala, para el Ejercicio Fiscal 2025.</w:t>
      </w:r>
    </w:p>
    <w:p w14:paraId="2C7EA9A1" w14:textId="77777777" w:rsidR="00CE2445" w:rsidRPr="00CE2445" w:rsidRDefault="00CE2445" w:rsidP="00CE2445">
      <w:pPr>
        <w:pStyle w:val="PRIMERAPLANA"/>
        <w:spacing w:line="360" w:lineRule="auto"/>
        <w:rPr>
          <w:rFonts w:ascii="Times New Roman" w:hAnsi="Times New Roman"/>
          <w:bCs/>
          <w:lang w:val="es-MX"/>
        </w:rPr>
      </w:pPr>
    </w:p>
    <w:p w14:paraId="123E580E"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Los Criterios de Política Económica, consideran los lineamientos definidos por el Gobierno Federal, así como las prioridades que el Ejecutivo del Estado ha establecido para el año 2025. En este documento, se incluyen las expectativas de crecimiento económico nacional y mundial para 2025, en los diferentes sectores de la economía, que nos permitirán definir las metas estatales.</w:t>
      </w:r>
    </w:p>
    <w:p w14:paraId="7CC4BBC1" w14:textId="77777777" w:rsidR="00CE2445" w:rsidRPr="00CE2445" w:rsidRDefault="00CE2445" w:rsidP="00CE2445">
      <w:pPr>
        <w:pStyle w:val="PRIMERAPLANA"/>
        <w:spacing w:line="360" w:lineRule="auto"/>
        <w:rPr>
          <w:rFonts w:ascii="Times New Roman" w:hAnsi="Times New Roman"/>
          <w:bCs/>
          <w:lang w:val="es-MX"/>
        </w:rPr>
      </w:pPr>
    </w:p>
    <w:p w14:paraId="2263D92F"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Asimismo, se incorporan las principales estrategias y acciones que habrán de seguirse en materia de ingreso y gasto, definidos en la Iniciativa de Ley de Ingresos y en el Proyecto de Decreto de Presupuesto de Egresos, para el Ejercicio Fiscal 2025, en los que se establecen los recursos necesarios para atender las diferentes necesidades de la población tlaxcalteca, a fin de satisfacer las demandas colectivas e impulsar el crecimiento y desarrollo económicos del Estado.</w:t>
      </w:r>
    </w:p>
    <w:p w14:paraId="6B8F97E5" w14:textId="77777777" w:rsidR="00CE2445" w:rsidRPr="00CE2445" w:rsidRDefault="00CE2445" w:rsidP="00CE2445">
      <w:pPr>
        <w:pStyle w:val="PRIMERAPLANA"/>
        <w:spacing w:line="360" w:lineRule="auto"/>
        <w:rPr>
          <w:rFonts w:ascii="Times New Roman" w:hAnsi="Times New Roman"/>
          <w:bCs/>
          <w:lang w:val="es-MX"/>
        </w:rPr>
      </w:pPr>
    </w:p>
    <w:p w14:paraId="7EC31264"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El Plan Estatal de Desarrollo 2021-2027 es el instrumento rector, que norma el actuar gubernamental, que aspira al mismo tiempo a servir de abierta convocatoria a la participación de los actores sociales y del sector privado. Es prioridad para el Gobierno del Estado de Tlaxcala consolidar una administración pública estatal con finanzas sanas, que de manera adecuada y responsable garantice la disponibilidad y transparencia de los recursos públicos, con la finalidad de llevar a cabo de manera eficiente y eficaz los programas y proyectos de gobierno, obras y servicios públicos, para obtener los mejores resultados, arropando las causas comunes y alimentar con ellas el trabajo del gobierno, generando mayores oportunidades de desarrollo y bienestar para las familias tlaxcaltecas.</w:t>
      </w:r>
    </w:p>
    <w:p w14:paraId="1CA57D3E" w14:textId="77777777" w:rsidR="00CE2445" w:rsidRPr="00CE2445" w:rsidRDefault="00CE2445" w:rsidP="00CE2445">
      <w:pPr>
        <w:pStyle w:val="PRIMERAPLANA"/>
        <w:spacing w:line="360" w:lineRule="auto"/>
        <w:rPr>
          <w:rFonts w:ascii="Times New Roman" w:hAnsi="Times New Roman"/>
          <w:bCs/>
          <w:lang w:val="es-MX"/>
        </w:rPr>
      </w:pPr>
    </w:p>
    <w:p w14:paraId="13C27131"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La realidad de Tlaxcala es compleja, dada su situación económica, política, social y cultural, por lo que el intentar modificarla sólo mediante un ejercicio de planeación y un presupuesto gubernamental que siempre será limitado es insuficiente; es por ello, que desde el inicio de esta Administración hemos </w:t>
      </w:r>
      <w:r w:rsidRPr="00CE2445">
        <w:rPr>
          <w:rFonts w:ascii="Times New Roman" w:hAnsi="Times New Roman"/>
          <w:bCs/>
          <w:lang w:val="es-MX"/>
        </w:rPr>
        <w:lastRenderedPageBreak/>
        <w:t>construido un gobierno cercano con visión extendida, que se interesa y actúa más por los derechos y las libertades de las personas, trabajando por los que menos tienen y sirviendo al pueblo de Tlaxcala.</w:t>
      </w:r>
    </w:p>
    <w:p w14:paraId="257D2B16" w14:textId="77777777" w:rsidR="00CE2445" w:rsidRPr="00CE2445" w:rsidRDefault="00CE2445" w:rsidP="00CE2445">
      <w:pPr>
        <w:pStyle w:val="PRIMERAPLANA"/>
        <w:spacing w:line="360" w:lineRule="auto"/>
        <w:rPr>
          <w:rFonts w:ascii="Times New Roman" w:hAnsi="Times New Roman"/>
          <w:bCs/>
          <w:lang w:val="es-MX"/>
        </w:rPr>
      </w:pPr>
    </w:p>
    <w:p w14:paraId="4DEAAD01"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Hemos puesto especial énfasis en el combate frontal a la corrupción como un elemento fundamental, </w:t>
      </w:r>
      <w:proofErr w:type="gramStart"/>
      <w:r w:rsidRPr="00CE2445">
        <w:rPr>
          <w:rFonts w:ascii="Times New Roman" w:hAnsi="Times New Roman"/>
          <w:bCs/>
          <w:lang w:val="es-MX"/>
        </w:rPr>
        <w:t>ya que</w:t>
      </w:r>
      <w:proofErr w:type="gramEnd"/>
      <w:r w:rsidRPr="00CE2445">
        <w:rPr>
          <w:rFonts w:ascii="Times New Roman" w:hAnsi="Times New Roman"/>
          <w:bCs/>
          <w:lang w:val="es-MX"/>
        </w:rPr>
        <w:t xml:space="preserve"> a través de los ahorros generados por este concepto, se obtendrán recursos que se destinarán a fortalecer los programas sociales para mejorar la calidad de vida de la población en general, permitiéndonos un desempeño más eficiente y honesto, con base en una perspectiva abierta y sustentada en la gestión para resultados, con base en criterios de austeridad republicana. </w:t>
      </w:r>
    </w:p>
    <w:p w14:paraId="3EFBDA2D" w14:textId="77777777" w:rsidR="00CE2445" w:rsidRPr="00CE2445" w:rsidRDefault="00CE2445" w:rsidP="00CE2445">
      <w:pPr>
        <w:pStyle w:val="PRIMERAPLANA"/>
        <w:spacing w:line="360" w:lineRule="auto"/>
        <w:rPr>
          <w:rFonts w:ascii="Times New Roman" w:hAnsi="Times New Roman"/>
          <w:bCs/>
          <w:lang w:val="es-MX"/>
        </w:rPr>
      </w:pPr>
    </w:p>
    <w:p w14:paraId="5EEDCFE1" w14:textId="4806EEF1"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Asimismo, procuramos integrar una propuesta de gobierno documentada y coherente en sus propósitos y acciones, posibilitando en el corto y mediano plazos la construcción de otros instrumentos como los programas institucionales, sectoriales, regionales y especiales, estructurados de tal manera que conlleven una solución a los problemas que queremos atender incluyendo las propuestas ciudadanas que se </w:t>
      </w:r>
      <w:r w:rsidR="006D2412">
        <w:rPr>
          <w:rFonts w:ascii="Times New Roman" w:hAnsi="Times New Roman"/>
          <w:bCs/>
          <w:lang w:val="es-MX"/>
        </w:rPr>
        <w:t>compilaron</w:t>
      </w:r>
      <w:r w:rsidR="006D2412" w:rsidRPr="00CE2445">
        <w:rPr>
          <w:rFonts w:ascii="Times New Roman" w:hAnsi="Times New Roman"/>
          <w:bCs/>
          <w:lang w:val="es-MX"/>
        </w:rPr>
        <w:t xml:space="preserve"> </w:t>
      </w:r>
      <w:r w:rsidRPr="00CE2445">
        <w:rPr>
          <w:rFonts w:ascii="Times New Roman" w:hAnsi="Times New Roman"/>
          <w:bCs/>
          <w:lang w:val="es-MX"/>
        </w:rPr>
        <w:t>del sentir social, ya que el acercamiento al pueblo para escuchar atentamente sus preocupaciones, es la base para construir un gobierno que responda a los intereses y causas por los que menos tienen y sirva a la ciudadanía.</w:t>
      </w:r>
    </w:p>
    <w:p w14:paraId="644CDB47" w14:textId="77777777" w:rsidR="00CE2445" w:rsidRPr="00CE2445" w:rsidRDefault="00CE2445" w:rsidP="00CE2445">
      <w:pPr>
        <w:pStyle w:val="PRIMERAPLANA"/>
        <w:spacing w:line="360" w:lineRule="auto"/>
        <w:rPr>
          <w:rFonts w:ascii="Times New Roman" w:hAnsi="Times New Roman"/>
          <w:bCs/>
          <w:lang w:val="es-MX"/>
        </w:rPr>
      </w:pPr>
    </w:p>
    <w:p w14:paraId="73852C40"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Lograr que las familias tlaxcaltecas tengan mejores oportunidades de vida, que aumente el ingreso familiar, el que las personas puedan pasear, comprar y desplazarse con mayor seguridad y el que la población tenga más confianza en el manejo que el gobierno hace de los recursos públicos, son algunas de las acciones destinadas en beneficio del pueblo de Tlaxcala. </w:t>
      </w:r>
    </w:p>
    <w:p w14:paraId="56FF7DF2" w14:textId="77777777" w:rsidR="00CE2445" w:rsidRPr="00CE2445" w:rsidRDefault="00CE2445" w:rsidP="00CE2445">
      <w:pPr>
        <w:pStyle w:val="PRIMERAPLANA"/>
        <w:spacing w:line="360" w:lineRule="auto"/>
        <w:rPr>
          <w:rFonts w:ascii="Times New Roman" w:hAnsi="Times New Roman"/>
          <w:bCs/>
          <w:lang w:val="es-MX"/>
        </w:rPr>
      </w:pPr>
    </w:p>
    <w:p w14:paraId="228F9FEE" w14:textId="4D096A04"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El pasado 2 de junio, el pueblo de México tomó una decisión histórica. Se tenían dos caminos a elegir: uno, que siga la transformación, el otro que regresara la corrupción. Y elegimos continuar con la transformación del país, con la </w:t>
      </w:r>
      <w:r w:rsidR="006D2412" w:rsidRPr="00CE2445">
        <w:rPr>
          <w:rFonts w:ascii="Times New Roman" w:hAnsi="Times New Roman"/>
          <w:bCs/>
          <w:lang w:val="es-MX"/>
        </w:rPr>
        <w:t xml:space="preserve">primera </w:t>
      </w:r>
      <w:proofErr w:type="gramStart"/>
      <w:r w:rsidRPr="00CE2445">
        <w:rPr>
          <w:rFonts w:ascii="Times New Roman" w:hAnsi="Times New Roman"/>
          <w:bCs/>
          <w:lang w:val="es-MX"/>
        </w:rPr>
        <w:t>Presidenta</w:t>
      </w:r>
      <w:proofErr w:type="gramEnd"/>
      <w:r w:rsidRPr="00CE2445">
        <w:rPr>
          <w:rFonts w:ascii="Times New Roman" w:hAnsi="Times New Roman"/>
          <w:bCs/>
          <w:lang w:val="es-MX"/>
        </w:rPr>
        <w:t xml:space="preserve"> de México; la Cuarta Transformación en el país tiene rostro y propuesta; la Dra. Claudia Sheinbaum Pardo, siendo la base del </w:t>
      </w:r>
      <w:r w:rsidR="006D2412">
        <w:rPr>
          <w:rFonts w:ascii="Times New Roman" w:hAnsi="Times New Roman"/>
          <w:bCs/>
          <w:lang w:val="es-MX"/>
        </w:rPr>
        <w:t>“</w:t>
      </w:r>
      <w:r w:rsidR="006D2412" w:rsidRPr="00CE2445">
        <w:rPr>
          <w:rFonts w:ascii="Times New Roman" w:hAnsi="Times New Roman"/>
          <w:bCs/>
          <w:lang w:val="es-MX"/>
        </w:rPr>
        <w:t xml:space="preserve">Proyecto </w:t>
      </w:r>
      <w:r w:rsidRPr="00CE2445">
        <w:rPr>
          <w:rFonts w:ascii="Times New Roman" w:hAnsi="Times New Roman"/>
          <w:bCs/>
          <w:lang w:val="es-MX"/>
        </w:rPr>
        <w:t xml:space="preserve">de </w:t>
      </w:r>
      <w:r w:rsidR="006D2412" w:rsidRPr="00CE2445">
        <w:rPr>
          <w:rFonts w:ascii="Times New Roman" w:hAnsi="Times New Roman"/>
          <w:bCs/>
          <w:lang w:val="es-MX"/>
        </w:rPr>
        <w:t xml:space="preserve">Nación </w:t>
      </w:r>
      <w:r w:rsidRPr="00CE2445">
        <w:rPr>
          <w:rFonts w:ascii="Times New Roman" w:hAnsi="Times New Roman"/>
          <w:bCs/>
          <w:lang w:val="es-MX"/>
        </w:rPr>
        <w:t>100 compromisos</w:t>
      </w:r>
      <w:r w:rsidR="006D2412">
        <w:rPr>
          <w:rFonts w:ascii="Times New Roman" w:hAnsi="Times New Roman"/>
          <w:bCs/>
          <w:lang w:val="es-MX"/>
        </w:rPr>
        <w:t>”</w:t>
      </w:r>
      <w:r w:rsidRPr="00CE2445">
        <w:rPr>
          <w:rFonts w:ascii="Times New Roman" w:hAnsi="Times New Roman"/>
          <w:bCs/>
          <w:lang w:val="es-MX"/>
        </w:rPr>
        <w:t xml:space="preserve">. </w:t>
      </w:r>
    </w:p>
    <w:p w14:paraId="7AF74054" w14:textId="77777777" w:rsidR="00CE2445" w:rsidRPr="00CE2445" w:rsidRDefault="00CE2445" w:rsidP="00CE2445">
      <w:pPr>
        <w:pStyle w:val="PRIMERAPLANA"/>
        <w:spacing w:line="360" w:lineRule="auto"/>
        <w:rPr>
          <w:rFonts w:ascii="Times New Roman" w:hAnsi="Times New Roman"/>
          <w:bCs/>
          <w:lang w:val="es-MX"/>
        </w:rPr>
      </w:pPr>
    </w:p>
    <w:p w14:paraId="7A6BD2AB"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A lo largo de estos últimos seis años el Gobierno Federal ha hecho mucho pero aún falta más por hacer; por ello, se seguirá avanzando con la transformación, siendo fundamental continuar con la política de orientación social del gasto para priorizar por encima de las demás partidas el combate a la pobreza y la erradicación de la desigualdad. </w:t>
      </w:r>
    </w:p>
    <w:p w14:paraId="157DE994" w14:textId="77777777" w:rsidR="00CE2445" w:rsidRPr="00CE2445" w:rsidRDefault="00CE2445" w:rsidP="00CE2445">
      <w:pPr>
        <w:pStyle w:val="PRIMERAPLANA"/>
        <w:spacing w:line="360" w:lineRule="auto"/>
        <w:rPr>
          <w:rFonts w:ascii="Times New Roman" w:hAnsi="Times New Roman"/>
          <w:bCs/>
          <w:lang w:val="es-MX"/>
        </w:rPr>
      </w:pPr>
    </w:p>
    <w:p w14:paraId="1A768532"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lastRenderedPageBreak/>
        <w:t xml:space="preserve">En materia de austeridad republicana, existe aún espacio para mejorar la función gubernamental y hacerla más eficiente, liberando así más recursos a usos de mayor valor social. Respecto al manejo de las finanzas públicas, después de seis años de una administración responsable, es necesario avanzar un paso más para potenciar no solo el crecimiento económico, sino el bienestar social que debe ser el objeto esencial de un manejo económico humanista. </w:t>
      </w:r>
    </w:p>
    <w:p w14:paraId="4FE08C01" w14:textId="77777777" w:rsidR="00CE2445" w:rsidRPr="00CE2445" w:rsidRDefault="00CE2445" w:rsidP="00CE2445">
      <w:pPr>
        <w:pStyle w:val="PRIMERAPLANA"/>
        <w:spacing w:line="360" w:lineRule="auto"/>
        <w:rPr>
          <w:rFonts w:ascii="Times New Roman" w:hAnsi="Times New Roman"/>
          <w:bCs/>
          <w:lang w:val="es-MX"/>
        </w:rPr>
      </w:pPr>
    </w:p>
    <w:p w14:paraId="7467EF15" w14:textId="7D350CD1"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En lo que corresponde al desarrollo económico, es necesario continuar con el proceso de inclusión de todos los sectores y regiones del país, para garantizar un progreso equitativo. </w:t>
      </w:r>
    </w:p>
    <w:p w14:paraId="524BE7F9" w14:textId="77777777" w:rsidR="00CE2445" w:rsidRPr="00CE2445" w:rsidRDefault="00CE2445" w:rsidP="00CE2445">
      <w:pPr>
        <w:pStyle w:val="PRIMERAPLANA"/>
        <w:spacing w:line="360" w:lineRule="auto"/>
        <w:rPr>
          <w:rFonts w:ascii="Times New Roman" w:hAnsi="Times New Roman"/>
          <w:bCs/>
          <w:lang w:val="es-MX"/>
        </w:rPr>
      </w:pPr>
    </w:p>
    <w:p w14:paraId="450F124D" w14:textId="2191FF88"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La administración federal saliente, deja logros históricos al revertir las reformas neoliberales y fortalecer las empresas públicas del sector energético</w:t>
      </w:r>
      <w:r w:rsidR="003B411B">
        <w:rPr>
          <w:rFonts w:ascii="Times New Roman" w:hAnsi="Times New Roman"/>
          <w:bCs/>
          <w:lang w:val="es-MX"/>
        </w:rPr>
        <w:t xml:space="preserve">, </w:t>
      </w:r>
      <w:r w:rsidR="003B411B" w:rsidRPr="00CE2445">
        <w:rPr>
          <w:rFonts w:ascii="Times New Roman" w:hAnsi="Times New Roman"/>
          <w:bCs/>
          <w:lang w:val="es-MX"/>
        </w:rPr>
        <w:t>la consolidación de la soberanía energética del país es un proceso que no se concluye en seis años</w:t>
      </w:r>
      <w:r w:rsidRPr="00CE2445">
        <w:rPr>
          <w:rFonts w:ascii="Times New Roman" w:hAnsi="Times New Roman"/>
          <w:bCs/>
          <w:lang w:val="es-MX"/>
        </w:rPr>
        <w:t xml:space="preserve">. Sin embargo, además de continuar con ese fortalecimiento, es también necesario que México entre de lleno al proceso global de transición energética. </w:t>
      </w:r>
    </w:p>
    <w:p w14:paraId="6E3DDB74" w14:textId="77777777" w:rsidR="00CE2445" w:rsidRPr="00CE2445" w:rsidRDefault="00CE2445" w:rsidP="00CE2445">
      <w:pPr>
        <w:pStyle w:val="PRIMERAPLANA"/>
        <w:spacing w:line="360" w:lineRule="auto"/>
        <w:rPr>
          <w:rFonts w:ascii="Times New Roman" w:hAnsi="Times New Roman"/>
          <w:bCs/>
          <w:lang w:val="es-MX"/>
        </w:rPr>
      </w:pPr>
    </w:p>
    <w:p w14:paraId="5618D5EB" w14:textId="7739A74E"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Hacia los siguientes años, se deben explorar nuevos esquemas de financiamiento, con criterios sustentables; al mismo tiempo se deben consolidar y ampliar las fuentes de ingreso público, con criterios de justicia, y se debe hacer un uso más intensivo de la información y las herramientas tecnológicas para acercar y simplificar a la </w:t>
      </w:r>
      <w:r w:rsidR="003B411B" w:rsidRPr="00CE2445">
        <w:rPr>
          <w:rFonts w:ascii="Times New Roman" w:hAnsi="Times New Roman"/>
          <w:bCs/>
          <w:lang w:val="es-MX"/>
        </w:rPr>
        <w:t xml:space="preserve">Hacienda Pública </w:t>
      </w:r>
      <w:r w:rsidRPr="00CE2445">
        <w:rPr>
          <w:rFonts w:ascii="Times New Roman" w:hAnsi="Times New Roman"/>
          <w:bCs/>
          <w:lang w:val="es-MX"/>
        </w:rPr>
        <w:t>con personas y empresas, ya que son compromisos con el bienestar de las y los mexicanos. La Cuarta Transformación es construir patria, es garantizar el porvenir de las actuales y de las futuras generaciones.</w:t>
      </w:r>
    </w:p>
    <w:p w14:paraId="11D37E0D" w14:textId="77777777" w:rsidR="00CE2445" w:rsidRPr="00CE2445" w:rsidRDefault="00CE2445" w:rsidP="00CE2445">
      <w:pPr>
        <w:pStyle w:val="PRIMERAPLANA"/>
        <w:spacing w:line="360" w:lineRule="auto"/>
        <w:rPr>
          <w:rFonts w:ascii="Times New Roman" w:hAnsi="Times New Roman"/>
          <w:bCs/>
          <w:lang w:val="es-MX"/>
        </w:rPr>
      </w:pPr>
    </w:p>
    <w:p w14:paraId="79977EDA" w14:textId="1C226D38"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El Gobierno del Estado en el cumplimiento de sus objetivos, mantiene el equilibrio y la solidez de sus finanzas públicas, fortaleciendo la recaudación de ingresos y racionalizando el gasto para atender los planes estratégicos en materia de seguridad, salud, bienestar social y crecimiento económic</w:t>
      </w:r>
      <w:r w:rsidR="007D1390">
        <w:rPr>
          <w:rFonts w:ascii="Times New Roman" w:hAnsi="Times New Roman"/>
          <w:bCs/>
          <w:lang w:val="es-MX"/>
        </w:rPr>
        <w:t>o</w:t>
      </w:r>
      <w:r w:rsidRPr="00CE2445">
        <w:rPr>
          <w:rFonts w:ascii="Times New Roman" w:hAnsi="Times New Roman"/>
          <w:bCs/>
          <w:lang w:val="es-MX"/>
        </w:rPr>
        <w:t>. La rendición de cuentas responsable y transparente de las finanzas públicas en la gestión gubernamental es primordial, para fortalecer la credibilidad de los Tlaxcaltecas en sus gobernantes.</w:t>
      </w:r>
    </w:p>
    <w:p w14:paraId="43EA71FF" w14:textId="77777777" w:rsidR="00CE2445" w:rsidRPr="00CE2445" w:rsidRDefault="00CE2445" w:rsidP="00CE2445">
      <w:pPr>
        <w:pStyle w:val="PRIMERAPLANA"/>
        <w:spacing w:line="360" w:lineRule="auto"/>
        <w:rPr>
          <w:rFonts w:ascii="Times New Roman" w:hAnsi="Times New Roman"/>
          <w:bCs/>
          <w:lang w:val="es-MX"/>
        </w:rPr>
      </w:pPr>
    </w:p>
    <w:p w14:paraId="142426C5" w14:textId="56923B65"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El Paquete Económico del Estado de Tlaxcala, que se presenta ante ese Congreso del Estado, se elaboró tomando en consideración las proyecciones económicas previstas por la Secretaría de Hacienda y Crédito Público (SHCP), en el Documento Relativo al Cumplimiento de las Disposiciones contenidas en el artículo 42, fracción I, de la Ley Federal de Presupuesto y Responsabilidad Hacendaria (Pre-Criterios 2025), y en los Criterios Generales de Política Económica para la Iniciativa de Ley de Ingresos y el Proyecto de Presupuesto de Egresos de la Federación correspondientes al Ejercicio Fiscal 2024, </w:t>
      </w:r>
      <w:r w:rsidRPr="00CE2445">
        <w:rPr>
          <w:rFonts w:ascii="Times New Roman" w:hAnsi="Times New Roman"/>
          <w:bCs/>
          <w:lang w:val="es-MX"/>
        </w:rPr>
        <w:lastRenderedPageBreak/>
        <w:t>por lo que se espera que los ingresos presupuestarios observen un crecimiento respecto al presupuesto aprobado en 2024, teniendo el reto de impulsar la actividad económica estatal y mejorar la gestión tributaria a través de mejoras en los sistemas recaudatorios, la ampliación de la base de contribuyentes y del aumento de la recaudación fiscal, para generar los recursos necesarios que financien el gasto público y lograr un balance presupuestario sostenible</w:t>
      </w:r>
      <w:r w:rsidR="00282D76">
        <w:rPr>
          <w:rFonts w:ascii="Times New Roman" w:hAnsi="Times New Roman"/>
          <w:bCs/>
          <w:lang w:val="es-MX"/>
        </w:rPr>
        <w:t>.</w:t>
      </w:r>
    </w:p>
    <w:p w14:paraId="1CE53F5A" w14:textId="77777777" w:rsidR="00CE2445" w:rsidRPr="00CE2445" w:rsidRDefault="00CE2445" w:rsidP="00CE2445">
      <w:pPr>
        <w:pStyle w:val="PRIMERAPLANA"/>
        <w:spacing w:line="360" w:lineRule="auto"/>
        <w:rPr>
          <w:rFonts w:ascii="Times New Roman" w:hAnsi="Times New Roman"/>
          <w:bCs/>
          <w:lang w:val="es-MX"/>
        </w:rPr>
      </w:pPr>
    </w:p>
    <w:p w14:paraId="21BC1C51" w14:textId="77777777" w:rsidR="00CE2445" w:rsidRPr="00CE2445" w:rsidRDefault="00CE2445" w:rsidP="00D50246">
      <w:pPr>
        <w:pStyle w:val="PRIMERAPLANA"/>
        <w:numPr>
          <w:ilvl w:val="0"/>
          <w:numId w:val="13"/>
        </w:numPr>
        <w:spacing w:line="360" w:lineRule="auto"/>
        <w:ind w:left="709"/>
        <w:rPr>
          <w:rFonts w:ascii="Times New Roman" w:hAnsi="Times New Roman"/>
          <w:b/>
          <w:lang w:val="es-MX"/>
        </w:rPr>
      </w:pPr>
      <w:r w:rsidRPr="00CE2445">
        <w:rPr>
          <w:rFonts w:ascii="Times New Roman" w:hAnsi="Times New Roman"/>
          <w:b/>
          <w:lang w:val="es-MX"/>
        </w:rPr>
        <w:t>EN MATERIA DE INGRESOS</w:t>
      </w:r>
    </w:p>
    <w:p w14:paraId="489700E1" w14:textId="77777777" w:rsidR="00CE2445" w:rsidRPr="00CE2445" w:rsidRDefault="00CE2445" w:rsidP="00CE2445">
      <w:pPr>
        <w:pStyle w:val="PRIMERAPLANA"/>
        <w:spacing w:line="360" w:lineRule="auto"/>
        <w:rPr>
          <w:rFonts w:ascii="Times New Roman" w:hAnsi="Times New Roman"/>
          <w:bCs/>
          <w:lang w:val="es-MX"/>
        </w:rPr>
      </w:pPr>
    </w:p>
    <w:p w14:paraId="64098D14" w14:textId="79D4656D"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La Ley de Ingresos del Estado de Tlaxcala, para el Ejercicio Fiscal 2025, es el instrumento jurídico que establece los ingresos que el Gobierno del Estado, recaudará por concepto de impuestos, derechos, productos, aprovechamientos, participaciones federales, incentivos económicos, aportaciones federales y otros ingresos federales transferidos; que serán destinados a cubrir los gastos públicos en las cantidades estimadas en la misma. Este documento presupuestario ofrece información valiosa para identificar las prioridades del gobierno, además de ser una importante herramienta de transparencia y rendición de cuentas a la ciudadanía, garantizando </w:t>
      </w:r>
      <w:r w:rsidR="003B411B">
        <w:rPr>
          <w:rFonts w:ascii="Times New Roman" w:hAnsi="Times New Roman"/>
          <w:bCs/>
          <w:lang w:val="es-MX"/>
        </w:rPr>
        <w:t xml:space="preserve">de esta manera </w:t>
      </w:r>
      <w:r w:rsidRPr="00CE2445">
        <w:rPr>
          <w:rFonts w:ascii="Times New Roman" w:hAnsi="Times New Roman"/>
          <w:bCs/>
          <w:lang w:val="es-MX"/>
        </w:rPr>
        <w:t xml:space="preserve">el respeto absoluto a los principios fundamentales de proporcionalidad, equidad y legalidad consagrados en </w:t>
      </w:r>
      <w:r w:rsidR="003B411B">
        <w:rPr>
          <w:rFonts w:ascii="Times New Roman" w:hAnsi="Times New Roman"/>
          <w:bCs/>
          <w:lang w:val="es-MX"/>
        </w:rPr>
        <w:t>la Constitución Política de los Estados Unidos Mexicanos</w:t>
      </w:r>
      <w:r w:rsidRPr="00CE2445">
        <w:rPr>
          <w:rFonts w:ascii="Times New Roman" w:hAnsi="Times New Roman"/>
          <w:bCs/>
          <w:lang w:val="es-MX"/>
        </w:rPr>
        <w:t>.</w:t>
      </w:r>
    </w:p>
    <w:p w14:paraId="5D763432" w14:textId="77777777" w:rsidR="00CE2445" w:rsidRPr="00CE2445" w:rsidRDefault="00CE2445" w:rsidP="00CE2445">
      <w:pPr>
        <w:pStyle w:val="PRIMERAPLANA"/>
        <w:spacing w:line="360" w:lineRule="auto"/>
        <w:rPr>
          <w:rFonts w:ascii="Times New Roman" w:hAnsi="Times New Roman"/>
          <w:bCs/>
          <w:lang w:val="es-MX"/>
        </w:rPr>
      </w:pPr>
    </w:p>
    <w:p w14:paraId="1ABD4CA4"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La iniciativa de Ley de Ingresos del Estado de Tlaxcala, para el Ejercicio Fiscal 2025, que se somete a la consideración de ese Congreso, es una propuesta objetiva y responsable que prevé la reorientación de los ingresos públicos hacia la atención de las necesidades más apremiantes de la sociedad tlaxcalteca, procurando aminorar los efectos desequilibrantes que produce la dependencia que se tiene de las participaciones federales, que por su propia naturaleza son variables y más aún en un entorno económico global que si bien se ha visto estable, no está exento de choques que puedan tornarlo incierto.</w:t>
      </w:r>
    </w:p>
    <w:p w14:paraId="6B31E753" w14:textId="77777777" w:rsidR="00CE2445" w:rsidRPr="00CE2445" w:rsidRDefault="00CE2445" w:rsidP="00CE2445">
      <w:pPr>
        <w:pStyle w:val="PRIMERAPLANA"/>
        <w:spacing w:line="360" w:lineRule="auto"/>
        <w:rPr>
          <w:rFonts w:ascii="Times New Roman" w:hAnsi="Times New Roman"/>
          <w:bCs/>
          <w:lang w:val="es-MX"/>
        </w:rPr>
      </w:pPr>
    </w:p>
    <w:p w14:paraId="74843A62" w14:textId="77777777" w:rsidR="00CE2445" w:rsidRPr="00CE2445" w:rsidRDefault="00CE2445" w:rsidP="00D50246">
      <w:pPr>
        <w:pStyle w:val="PRIMERAPLANA"/>
        <w:numPr>
          <w:ilvl w:val="0"/>
          <w:numId w:val="16"/>
        </w:numPr>
        <w:spacing w:line="360" w:lineRule="auto"/>
        <w:ind w:left="426" w:hanging="426"/>
        <w:rPr>
          <w:rFonts w:ascii="Times New Roman" w:hAnsi="Times New Roman"/>
          <w:b/>
          <w:lang w:val="es-MX"/>
        </w:rPr>
      </w:pPr>
      <w:r w:rsidRPr="00CE2445">
        <w:rPr>
          <w:rFonts w:ascii="Times New Roman" w:hAnsi="Times New Roman"/>
          <w:b/>
          <w:lang w:val="es-MX"/>
        </w:rPr>
        <w:t>ENTORNO ECONÓMICO INTERNACIONAL</w:t>
      </w:r>
    </w:p>
    <w:p w14:paraId="0FC0BCB6" w14:textId="77777777" w:rsidR="00CE2445" w:rsidRPr="00CE2445" w:rsidRDefault="00CE2445" w:rsidP="00CE2445">
      <w:pPr>
        <w:pStyle w:val="PRIMERAPLANA"/>
        <w:spacing w:line="360" w:lineRule="auto"/>
        <w:rPr>
          <w:rFonts w:ascii="Times New Roman" w:hAnsi="Times New Roman"/>
          <w:b/>
          <w:lang w:val="es-MX"/>
        </w:rPr>
      </w:pPr>
    </w:p>
    <w:p w14:paraId="70145660"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En 2023, la actividad económica global mostró un mejor desempeño del que se esperaba al comenzar el año. Destacó Estados Unidos de Norteamérica (EE.UU.) con un crecimiento por arriba de lo anticipado debido a la fortaleza del consumo privado y del empleo. En la zona del euro, el efecto rezagado de los altos precios de energéticos redujo el dinamismo de la economía, mientras que, en China, si bien los apoyos fiscales contribuyeron a impulsar el crecimiento, esto se vio contrarrestado por la debilidad de su sector inmobiliario. </w:t>
      </w:r>
    </w:p>
    <w:p w14:paraId="57428CEC" w14:textId="77777777" w:rsidR="00CE2445" w:rsidRPr="00CE2445" w:rsidRDefault="00CE2445" w:rsidP="00CE2445">
      <w:pPr>
        <w:pStyle w:val="PRIMERAPLANA"/>
        <w:spacing w:line="360" w:lineRule="auto"/>
        <w:rPr>
          <w:rFonts w:ascii="Times New Roman" w:hAnsi="Times New Roman"/>
          <w:bCs/>
          <w:lang w:val="es-MX"/>
        </w:rPr>
      </w:pPr>
    </w:p>
    <w:p w14:paraId="2F2510E1"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La inflación continuó con una trayectoria descendente, aunque permaneció por encima de los objetivos de la mayoría de los bancos centrales, en un contexto en que los choques de oferta acumulados desde la pandemia y la guerra en Ucrania se han disipado gradualmente.</w:t>
      </w:r>
    </w:p>
    <w:p w14:paraId="3C0544BB" w14:textId="77777777" w:rsidR="00CE2445" w:rsidRPr="00CE2445" w:rsidRDefault="00CE2445" w:rsidP="00CE2445">
      <w:pPr>
        <w:pStyle w:val="PRIMERAPLANA"/>
        <w:spacing w:line="360" w:lineRule="auto"/>
        <w:rPr>
          <w:rFonts w:ascii="Times New Roman" w:hAnsi="Times New Roman"/>
          <w:bCs/>
          <w:lang w:val="es-MX"/>
        </w:rPr>
      </w:pPr>
    </w:p>
    <w:p w14:paraId="312A8E3B"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En el mercado de materias primas se presentaron episodios de volatilidad asociados a choques geopolíticos y condiciones climáticas adversas, las altas temperaturas asociadas al fenómeno de El Niño, afectaron la producción de granos básicos y afectaron rutas comerciales importantes como el Canal de Panamá.</w:t>
      </w:r>
    </w:p>
    <w:p w14:paraId="489F2E2C" w14:textId="77777777" w:rsidR="00CE2445" w:rsidRPr="00CE2445" w:rsidRDefault="00CE2445" w:rsidP="00CE2445">
      <w:pPr>
        <w:pStyle w:val="PRIMERAPLANA"/>
        <w:spacing w:line="360" w:lineRule="auto"/>
        <w:rPr>
          <w:rFonts w:ascii="Times New Roman" w:hAnsi="Times New Roman"/>
          <w:bCs/>
          <w:lang w:val="es-MX"/>
        </w:rPr>
      </w:pPr>
    </w:p>
    <w:p w14:paraId="1DBB256E"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Las condiciones financieras fueron restrictivas en 2023, los bancos centrales de economías avanzadas alcanzaron tasas de política monetaria no vistas en décadas. La incertidumbre sobre el fin del ciclo de alzas y el inicio de recortes por recesión ocasionaron episodios de volatilidad en los mercados, sobre todo en las economías emergentes.</w:t>
      </w:r>
    </w:p>
    <w:p w14:paraId="2F979F77" w14:textId="77777777" w:rsidR="00CE2445" w:rsidRPr="00CE2445" w:rsidRDefault="00CE2445" w:rsidP="00CE2445">
      <w:pPr>
        <w:pStyle w:val="PRIMERAPLANA"/>
        <w:spacing w:line="360" w:lineRule="auto"/>
        <w:rPr>
          <w:rFonts w:ascii="Times New Roman" w:hAnsi="Times New Roman"/>
          <w:bCs/>
          <w:lang w:val="es-MX"/>
        </w:rPr>
      </w:pPr>
    </w:p>
    <w:p w14:paraId="66CD5C0A"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En 2023, la economía mexicana ligó tres años de crecimiento por arriba de su promedio histórico al registrar una tasa de crecimiento de 3.2% anual. Incluso, desde el tercer trimestre de 2022, se superó consecutivamente el máximo histórico del Producto Interno Bruto (PIB) en cada trimestre, situación que no se había observado en los últimos ocho años. No obstante, en el cuarto trimestre de 2023 se presentó una desaceleración respecto al trimestre previo, tal que su tasa de crecimiento fue la menor del año. </w:t>
      </w:r>
    </w:p>
    <w:p w14:paraId="6F50D43B" w14:textId="77777777" w:rsidR="00CE2445" w:rsidRPr="00CE2445" w:rsidRDefault="00CE2445" w:rsidP="00CE2445">
      <w:pPr>
        <w:pStyle w:val="PRIMERAPLANA"/>
        <w:spacing w:line="360" w:lineRule="auto"/>
        <w:rPr>
          <w:rFonts w:ascii="Times New Roman" w:hAnsi="Times New Roman"/>
          <w:bCs/>
          <w:lang w:val="es-MX"/>
        </w:rPr>
      </w:pPr>
    </w:p>
    <w:p w14:paraId="0AEACB28"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El desempeño de la economía obedeció a los altos niveles de inversión, en un entorno de estabilidad macroeconómica, política y social, lo cual continúa generando una alta confianza empresarial. Tan sólo la inversión privada creció 19.5% en 2023, lo que significó la mayor tasa desde 1996 cuando inició el registro. Este impulso también se generó por cambios en las tendencias globales sobre el intercambio comercial y el fenómeno de la relocalización de empresas. Por su parte, la inversión pública ligó dos años con crecimientos, derivado del efecto de las obras públicas para la refinación de petróleo y el incremento de la conectividad en la región sur-sureste del país.</w:t>
      </w:r>
    </w:p>
    <w:p w14:paraId="6C806A69" w14:textId="77777777" w:rsidR="00CE2445" w:rsidRPr="00CE2445" w:rsidRDefault="00CE2445" w:rsidP="00CE2445">
      <w:pPr>
        <w:pStyle w:val="PRIMERAPLANA"/>
        <w:spacing w:line="360" w:lineRule="auto"/>
        <w:rPr>
          <w:rFonts w:ascii="Times New Roman" w:hAnsi="Times New Roman"/>
          <w:bCs/>
          <w:lang w:val="es-MX"/>
        </w:rPr>
      </w:pPr>
    </w:p>
    <w:p w14:paraId="157F36C8"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Durante 2023, la demanda agregada creció por tres años continuos y por arriba de su promedio histórico derivado, principalmente, de las condiciones positivas del mercado laboral y la confianza empresarial para invertir en el país. Así, en 2023 aumentó en 4.0% anual, con contribuciones positivas de 2.1 y 2.9 puntos porcentuales (</w:t>
      </w:r>
      <w:proofErr w:type="spellStart"/>
      <w:r w:rsidRPr="00CE2445">
        <w:rPr>
          <w:rFonts w:ascii="Times New Roman" w:hAnsi="Times New Roman"/>
          <w:bCs/>
          <w:lang w:val="es-MX"/>
        </w:rPr>
        <w:t>pp</w:t>
      </w:r>
      <w:proofErr w:type="spellEnd"/>
      <w:r w:rsidRPr="00CE2445">
        <w:rPr>
          <w:rFonts w:ascii="Times New Roman" w:hAnsi="Times New Roman"/>
          <w:bCs/>
          <w:lang w:val="es-MX"/>
        </w:rPr>
        <w:t xml:space="preserve">) del consumo privado y la inversión, respectivamente. Mientras tanto, las </w:t>
      </w:r>
      <w:r w:rsidRPr="00CE2445">
        <w:rPr>
          <w:rFonts w:ascii="Times New Roman" w:hAnsi="Times New Roman"/>
          <w:bCs/>
          <w:lang w:val="es-MX"/>
        </w:rPr>
        <w:lastRenderedPageBreak/>
        <w:t xml:space="preserve">exportaciones de bienes y servicios se contrajeron en 6.9%, lo cual restó 2.0 </w:t>
      </w:r>
      <w:proofErr w:type="spellStart"/>
      <w:r w:rsidRPr="00CE2445">
        <w:rPr>
          <w:rFonts w:ascii="Times New Roman" w:hAnsi="Times New Roman"/>
          <w:bCs/>
          <w:lang w:val="es-MX"/>
        </w:rPr>
        <w:t>pp</w:t>
      </w:r>
      <w:proofErr w:type="spellEnd"/>
      <w:r w:rsidRPr="00CE2445">
        <w:rPr>
          <w:rFonts w:ascii="Times New Roman" w:hAnsi="Times New Roman"/>
          <w:bCs/>
          <w:lang w:val="es-MX"/>
        </w:rPr>
        <w:t xml:space="preserve"> al total, mostrando un desempeño menos dinámico del sector externo.</w:t>
      </w:r>
    </w:p>
    <w:p w14:paraId="4C655B37" w14:textId="77777777" w:rsidR="00CE2445" w:rsidRPr="00CE2445" w:rsidRDefault="00CE2445" w:rsidP="00CE2445">
      <w:pPr>
        <w:pStyle w:val="PRIMERAPLANA"/>
        <w:spacing w:line="360" w:lineRule="auto"/>
        <w:rPr>
          <w:rFonts w:ascii="Times New Roman" w:hAnsi="Times New Roman"/>
          <w:bCs/>
          <w:lang w:val="es-MX"/>
        </w:rPr>
      </w:pPr>
    </w:p>
    <w:p w14:paraId="67692E89"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En 2023, el mercado laboral mostró un desempeño positivo con niveles por encima de la tendencia previa a la pandemia de COVID-19, aunque algunos indicadores perdieron dinamismo respecto a los dos años anteriores derivado de una alta base de comparación. En particular, la población ocupada promedio creció 1 millón 482 mil personas en términos anuales, superior a su promedio histórico de 958 mil. Por otro lado, los salarios reales en 2023 se beneficiaron de la tendencia a la baja de la inflación, así como de la demanda por trabajadores en el contexto de un aumento de la capacidad productiva del país.</w:t>
      </w:r>
    </w:p>
    <w:p w14:paraId="492B2AA4" w14:textId="77777777" w:rsidR="00CE2445" w:rsidRPr="00CE2445" w:rsidRDefault="00CE2445" w:rsidP="00CE2445">
      <w:pPr>
        <w:pStyle w:val="PRIMERAPLANA"/>
        <w:spacing w:line="360" w:lineRule="auto"/>
        <w:rPr>
          <w:rFonts w:ascii="Times New Roman" w:hAnsi="Times New Roman"/>
          <w:bCs/>
          <w:lang w:val="es-MX"/>
        </w:rPr>
      </w:pPr>
    </w:p>
    <w:p w14:paraId="180FAC7F"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La inflación presentó una desaceleración durante 2023; incluso de manera más pronunciada que la observada después de la Gran Recesión en 2009. Esto obedeció, por un lado, a una mejor base de comparación por la disminución de los precios internacionales de las materias primas, y por otro, a la mayor cantidad de insumos disponibles para producir y al efecto de la apreciación del peso mexicano respecto al dólar estadounidense.</w:t>
      </w:r>
    </w:p>
    <w:p w14:paraId="2C595297" w14:textId="77777777" w:rsidR="00CE2445" w:rsidRPr="00CE2445" w:rsidRDefault="00CE2445" w:rsidP="00CE2445">
      <w:pPr>
        <w:pStyle w:val="PRIMERAPLANA"/>
        <w:spacing w:line="360" w:lineRule="auto"/>
        <w:rPr>
          <w:rFonts w:ascii="Times New Roman" w:hAnsi="Times New Roman"/>
          <w:bCs/>
          <w:lang w:val="es-MX"/>
        </w:rPr>
      </w:pPr>
    </w:p>
    <w:p w14:paraId="79C22525" w14:textId="77777777" w:rsidR="00CE2445" w:rsidRPr="00CE2445" w:rsidRDefault="00CE2445" w:rsidP="00D50246">
      <w:pPr>
        <w:pStyle w:val="PRIMERAPLANA"/>
        <w:numPr>
          <w:ilvl w:val="0"/>
          <w:numId w:val="16"/>
        </w:numPr>
        <w:spacing w:line="360" w:lineRule="auto"/>
        <w:ind w:left="426" w:hanging="426"/>
        <w:rPr>
          <w:rFonts w:ascii="Times New Roman" w:hAnsi="Times New Roman"/>
          <w:b/>
          <w:lang w:val="es-MX"/>
        </w:rPr>
      </w:pPr>
      <w:r w:rsidRPr="00CE2445">
        <w:rPr>
          <w:rFonts w:ascii="Times New Roman" w:hAnsi="Times New Roman"/>
          <w:b/>
          <w:lang w:val="es-MX"/>
        </w:rPr>
        <w:t>ENTORNO ECONÓMICO NACIONAL</w:t>
      </w:r>
    </w:p>
    <w:p w14:paraId="281808C9" w14:textId="77777777" w:rsidR="00CE2445" w:rsidRPr="00CE2445" w:rsidRDefault="00CE2445" w:rsidP="00CE2445">
      <w:pPr>
        <w:pStyle w:val="PRIMERAPLANA"/>
        <w:spacing w:line="360" w:lineRule="auto"/>
        <w:rPr>
          <w:rFonts w:ascii="Times New Roman" w:hAnsi="Times New Roman"/>
          <w:bCs/>
          <w:lang w:val="es-MX"/>
        </w:rPr>
      </w:pPr>
    </w:p>
    <w:p w14:paraId="3D15C2BD"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En 2023, México se consolidó como el principal socio comercial de EE.UU. y se posicionó como la economía de Latinoamérica con las más altas exportaciones. Lo anterior, pese a algunos factores que disminuyeron los envíos de mercancías al exterior respecto al año anterior como fueron el menor volumen de comercio mundial, la desaceleración de la producción industrial en EE.UU., menores precios de las materias primas en términos anuales y eventos adversos como problemas logísticos y la huelga en la industria automotriz en ese país. A la par, la demanda interna impulsó la importación, principalmente de bienes de consumo y de capital. En 2023 los flujos de capitales a México continuaron llegando principalmente por concepto de inversión directa y, en menor medida, por concepto del rubro de otra inversión.</w:t>
      </w:r>
    </w:p>
    <w:p w14:paraId="06DC9D96" w14:textId="77777777" w:rsidR="00CE2445" w:rsidRPr="00CE2445" w:rsidRDefault="00CE2445" w:rsidP="00CE2445">
      <w:pPr>
        <w:pStyle w:val="PRIMERAPLANA"/>
        <w:spacing w:line="360" w:lineRule="auto"/>
        <w:rPr>
          <w:rFonts w:ascii="Times New Roman" w:hAnsi="Times New Roman"/>
          <w:bCs/>
          <w:lang w:val="es-MX"/>
        </w:rPr>
      </w:pPr>
    </w:p>
    <w:p w14:paraId="58963D8F"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El sistema financiero mexicano se mantuvo estable en 2023, a pesar de los episodios de volatilidad a nivel global atribuidos a las quiebras de algunos bancos regionales en EE.UU., las tensiones geopolíticas y la incertidumbre en torno al fin del ciclo de alza de tasas por parte del Sistema de la Reserva Federal (FED). El tipo de cambio se situó en 17.7 pesos por dólar en promedio en el año, una apreciación de 13.4% respecto al año anterior. El Banco de México incrementó en dos ocasiones su </w:t>
      </w:r>
      <w:r w:rsidRPr="00CE2445">
        <w:rPr>
          <w:rFonts w:ascii="Times New Roman" w:hAnsi="Times New Roman"/>
          <w:bCs/>
          <w:lang w:val="es-MX"/>
        </w:rPr>
        <w:lastRenderedPageBreak/>
        <w:t>tasa de referencia durante 2023, tanto el 9 de febrero en 50 puntos base (pb) como el 30 de marzo en 25 pb, situando su tasa de referencia en 11.25%, que permaneció sin cambios en el resto del año.</w:t>
      </w:r>
    </w:p>
    <w:p w14:paraId="16C48E63" w14:textId="77777777" w:rsidR="00CE2445" w:rsidRPr="00CE2445" w:rsidRDefault="00CE2445" w:rsidP="00CE2445">
      <w:pPr>
        <w:pStyle w:val="PRIMERAPLANA"/>
        <w:spacing w:line="360" w:lineRule="auto"/>
        <w:rPr>
          <w:rFonts w:ascii="Times New Roman" w:hAnsi="Times New Roman"/>
          <w:bCs/>
          <w:lang w:val="es-MX"/>
        </w:rPr>
      </w:pPr>
    </w:p>
    <w:p w14:paraId="0D9733F9"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Mientras tanto, las participaciones a entidades federativas y municipios alcanzaron un nivel de 3.6% del PIB y crecieron 2.5% real respecto a 2022 derivado del aumento de 4.0% real de la recaudación federal participable. La evolución de los ingresos y gastos se reflejó en un déficit presupuestario de 3.4% del PIB, por debajo del monto aprobado en 0.2 </w:t>
      </w:r>
      <w:proofErr w:type="spellStart"/>
      <w:r w:rsidRPr="00CE2445">
        <w:rPr>
          <w:rFonts w:ascii="Times New Roman" w:hAnsi="Times New Roman"/>
          <w:bCs/>
          <w:lang w:val="es-MX"/>
        </w:rPr>
        <w:t>pp</w:t>
      </w:r>
      <w:proofErr w:type="spellEnd"/>
      <w:r w:rsidRPr="00CE2445">
        <w:rPr>
          <w:rFonts w:ascii="Times New Roman" w:hAnsi="Times New Roman"/>
          <w:bCs/>
          <w:lang w:val="es-MX"/>
        </w:rPr>
        <w:t xml:space="preserve">, y en línea con las metas establecidas en la Ley Federal de Presupuesto y Responsabilidad Hacendaria (LFPRH) y aprobadas por el H. Congreso de la Unión para el año fiscal 2023. Además, el balance presupuestario sin inversión productiva registró un superávit de 0.2%, por encima del equilibrio presupuestario establecido en la normatividad. Los Requerimientos Financieros del Sector Público (RFSP) ascendieron a 4.3% del PIB, nivel superior a lo previsto en el programa en 0.2 </w:t>
      </w:r>
      <w:proofErr w:type="spellStart"/>
      <w:r w:rsidRPr="00CE2445">
        <w:rPr>
          <w:rFonts w:ascii="Times New Roman" w:hAnsi="Times New Roman"/>
          <w:bCs/>
          <w:lang w:val="es-MX"/>
        </w:rPr>
        <w:t>pp</w:t>
      </w:r>
      <w:proofErr w:type="spellEnd"/>
      <w:r w:rsidRPr="00CE2445">
        <w:rPr>
          <w:rFonts w:ascii="Times New Roman" w:hAnsi="Times New Roman"/>
          <w:bCs/>
          <w:lang w:val="es-MX"/>
        </w:rPr>
        <w:t xml:space="preserve"> explicado principalmente por el desempeño del componente inflacionario de los bonos indexados y otros requerimientos financieros extrapresupuestarios, que en conjunto contribuyeron con 1.0% del PIB. </w:t>
      </w:r>
    </w:p>
    <w:p w14:paraId="7CB1A049" w14:textId="77777777" w:rsidR="00CE2445" w:rsidRPr="00CE2445" w:rsidRDefault="00CE2445" w:rsidP="00CE2445">
      <w:pPr>
        <w:pStyle w:val="PRIMERAPLANA"/>
        <w:spacing w:line="360" w:lineRule="auto"/>
        <w:rPr>
          <w:rFonts w:ascii="Times New Roman" w:hAnsi="Times New Roman"/>
          <w:bCs/>
          <w:lang w:val="es-MX"/>
        </w:rPr>
      </w:pPr>
    </w:p>
    <w:p w14:paraId="455EFFA3"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Finalmente, en 2023, la deuda neta del Gobierno Federal representó el 40.0% del PIB, manteniendo un portafolio con baja exposición de riesgo. El 84.2% del saldo de la deuda estuvo denominado en moneda nacional y el 76.5% se contrató a tasa fija y con vencimientos a largo plazo.</w:t>
      </w:r>
    </w:p>
    <w:p w14:paraId="6881F870" w14:textId="77777777" w:rsidR="00CE2445" w:rsidRPr="00CE2445" w:rsidRDefault="00CE2445" w:rsidP="00CE2445">
      <w:pPr>
        <w:pStyle w:val="PRIMERAPLANA"/>
        <w:spacing w:line="360" w:lineRule="auto"/>
        <w:rPr>
          <w:rFonts w:ascii="Times New Roman" w:hAnsi="Times New Roman"/>
          <w:bCs/>
          <w:lang w:val="es-MX"/>
        </w:rPr>
      </w:pPr>
    </w:p>
    <w:p w14:paraId="5D24D3ED"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En 2024 y 2025, se anticipa que la economía mexicana continúe creciendo por arriba de su promedio histórico impulsada, principalmente, por una demanda interna sólida y un mercado laboral dinámico. El consumo privado y la inversión seguirán cerrando la brecha respecto a su tendencia previa a la pandemia y la inflación irá convergiendo hacia el objetivo del Banco de México.</w:t>
      </w:r>
    </w:p>
    <w:p w14:paraId="68E312DF" w14:textId="77777777" w:rsidR="00CE2445" w:rsidRPr="00CE2445" w:rsidRDefault="00CE2445" w:rsidP="00CE2445">
      <w:pPr>
        <w:pStyle w:val="PRIMERAPLANA"/>
        <w:spacing w:line="360" w:lineRule="auto"/>
        <w:rPr>
          <w:rFonts w:ascii="Times New Roman" w:hAnsi="Times New Roman"/>
          <w:bCs/>
          <w:lang w:val="es-MX"/>
        </w:rPr>
      </w:pPr>
    </w:p>
    <w:p w14:paraId="6A57E4CD"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Para el resto del año y en 2025, se prevé que el nivel del PIB proyectado seguirá creciendo, pero a un ritmo menor al observado en los años anteriores. Cabe destacar que las proyecciones del marco macroeconómico reflejan un escenario de tendencia inercial que no contempla efectos adicionales por alguna política pública en particular o el efecto puntual de tendencias globales como la relocalización de empresas.</w:t>
      </w:r>
    </w:p>
    <w:p w14:paraId="48F18CF9" w14:textId="77777777" w:rsidR="00CE2445" w:rsidRPr="00CE2445" w:rsidRDefault="00CE2445" w:rsidP="00CE2445">
      <w:pPr>
        <w:pStyle w:val="PRIMERAPLANA"/>
        <w:spacing w:line="360" w:lineRule="auto"/>
        <w:rPr>
          <w:rFonts w:ascii="Times New Roman" w:hAnsi="Times New Roman"/>
          <w:bCs/>
          <w:lang w:val="es-MX"/>
        </w:rPr>
      </w:pPr>
    </w:p>
    <w:p w14:paraId="75BA1A00"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Para 2024 se estima un rango de crecimiento para la economía mexicana que va de 2.5 a 3.5% anual; mientras que para 2025, el rango previsto es de 2.0 a 3.0% anual. Ambas proyecciones se mantienen respecto a lo previsto en el Paquete Económico 2024 publicado en septiembre del año pasado. Se estima que las tasas de interés cierren en 9.5% en 2024 y en 7.0% en 2025.</w:t>
      </w:r>
    </w:p>
    <w:p w14:paraId="7F846144" w14:textId="77777777" w:rsidR="00CE2445" w:rsidRPr="00CE2445" w:rsidRDefault="00CE2445" w:rsidP="00CE2445">
      <w:pPr>
        <w:pStyle w:val="PRIMERAPLANA"/>
        <w:spacing w:line="360" w:lineRule="auto"/>
        <w:rPr>
          <w:rFonts w:ascii="Times New Roman" w:hAnsi="Times New Roman"/>
          <w:bCs/>
          <w:lang w:val="es-MX"/>
        </w:rPr>
      </w:pPr>
    </w:p>
    <w:p w14:paraId="149463DE" w14:textId="77777777" w:rsid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Se estima que la inflación general cierre 2024 en 3.8%, de acuerdo con la proyección del Paquete Económico 2024, mientras que para 2025 se anticipa una tasa de 3.3% anual, 0.3 </w:t>
      </w:r>
      <w:proofErr w:type="spellStart"/>
      <w:r w:rsidRPr="00CE2445">
        <w:rPr>
          <w:rFonts w:ascii="Times New Roman" w:hAnsi="Times New Roman"/>
          <w:bCs/>
          <w:lang w:val="es-MX"/>
        </w:rPr>
        <w:t>pp</w:t>
      </w:r>
      <w:proofErr w:type="spellEnd"/>
      <w:r w:rsidRPr="00CE2445">
        <w:rPr>
          <w:rFonts w:ascii="Times New Roman" w:hAnsi="Times New Roman"/>
          <w:bCs/>
          <w:lang w:val="es-MX"/>
        </w:rPr>
        <w:t xml:space="preserve"> por arriba de lo anticipado en el programa.</w:t>
      </w:r>
    </w:p>
    <w:p w14:paraId="5D1FE281" w14:textId="77777777" w:rsidR="008847C0" w:rsidRPr="00CE2445" w:rsidRDefault="008847C0" w:rsidP="00CE2445">
      <w:pPr>
        <w:pStyle w:val="PRIMERAPLANA"/>
        <w:spacing w:line="360" w:lineRule="auto"/>
        <w:rPr>
          <w:rFonts w:ascii="Times New Roman" w:hAnsi="Times New Roman"/>
          <w:bCs/>
          <w:lang w:val="es-MX"/>
        </w:rPr>
      </w:pPr>
    </w:p>
    <w:p w14:paraId="1BC8005C"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Se estima que al cierre de 2024 y 2025, el tipo de cambio se ubique en 17.8 y 18.0 pesos por dólar, respectivamente, lo cual resulta en diferencias de 20 y 10 centavos de peso respecto a lo estimado en el Paquete Económico 2024. Respecto a la cuenta corriente, en 2024 y 2025 se estiman bajos déficits de 0.2 y 0.3% del PIB, menores a los estimados en el Paquete Económico 2024 de 0.7 y 1.0% del PIB, respectivamente.</w:t>
      </w:r>
    </w:p>
    <w:p w14:paraId="62C2928D" w14:textId="77777777" w:rsidR="00CE2445" w:rsidRPr="00CE2445" w:rsidRDefault="00CE2445" w:rsidP="00CE2445">
      <w:pPr>
        <w:pStyle w:val="PRIMERAPLANA"/>
        <w:spacing w:line="360" w:lineRule="auto"/>
        <w:rPr>
          <w:rFonts w:ascii="Times New Roman" w:hAnsi="Times New Roman"/>
          <w:bCs/>
          <w:lang w:val="es-MX"/>
        </w:rPr>
      </w:pPr>
    </w:p>
    <w:p w14:paraId="5D7D0FDA"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Se prevé que en promedio la cotización de la Mezcla Mexicana de Exportación (MME) se ubique en 71.3 dólares por barril (dpb) en 2024. Para 2025, se estima una cotización de 58.4 dpb, la cual se encuentra sustentada con la metodología establecida por Ley en el artículo 31 de la LFPRH y el 15 de su Reglamento.</w:t>
      </w:r>
    </w:p>
    <w:p w14:paraId="21D5F5DD" w14:textId="77777777" w:rsidR="00CE2445" w:rsidRPr="00CE2445" w:rsidRDefault="00CE2445" w:rsidP="00CE2445">
      <w:pPr>
        <w:pStyle w:val="PRIMERAPLANA"/>
        <w:spacing w:line="360" w:lineRule="auto"/>
        <w:rPr>
          <w:rFonts w:ascii="Times New Roman" w:hAnsi="Times New Roman"/>
          <w:bCs/>
          <w:lang w:val="es-MX"/>
        </w:rPr>
      </w:pPr>
    </w:p>
    <w:p w14:paraId="2845E6B2"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Las estimaciones de la plataforma de producción de petróleo nacional son prudentes y consistentes con la trayectoria observada en los primeros meses de 2024; de tal forma, se prevé que alcancen 1,852.0 </w:t>
      </w:r>
      <w:proofErr w:type="spellStart"/>
      <w:r w:rsidRPr="00CE2445">
        <w:rPr>
          <w:rFonts w:ascii="Times New Roman" w:hAnsi="Times New Roman"/>
          <w:bCs/>
          <w:lang w:val="es-MX"/>
        </w:rPr>
        <w:t>mbd</w:t>
      </w:r>
      <w:proofErr w:type="spellEnd"/>
      <w:r w:rsidRPr="00CE2445">
        <w:rPr>
          <w:rFonts w:ascii="Times New Roman" w:hAnsi="Times New Roman"/>
          <w:bCs/>
          <w:lang w:val="es-MX"/>
        </w:rPr>
        <w:t xml:space="preserve"> para 2024 y 1,863.1 para 2025, menores respecto a lo estimado en el Paquete Económico 2024. En 2025 se espera un repunte en la producción de 11.1 </w:t>
      </w:r>
      <w:proofErr w:type="spellStart"/>
      <w:r w:rsidRPr="00CE2445">
        <w:rPr>
          <w:rFonts w:ascii="Times New Roman" w:hAnsi="Times New Roman"/>
          <w:bCs/>
          <w:lang w:val="es-MX"/>
        </w:rPr>
        <w:t>mbd</w:t>
      </w:r>
      <w:proofErr w:type="spellEnd"/>
      <w:r w:rsidRPr="00CE2445">
        <w:rPr>
          <w:rFonts w:ascii="Times New Roman" w:hAnsi="Times New Roman"/>
          <w:bCs/>
          <w:lang w:val="es-MX"/>
        </w:rPr>
        <w:t xml:space="preserve"> respecto a 2024, dada la posibilidad de que la exploración de campos en el sur del país por parte de Pemex concluya positivamente y se adicionen nuevos yacimientos.</w:t>
      </w:r>
    </w:p>
    <w:tbl>
      <w:tblPr>
        <w:tblW w:w="7200" w:type="dxa"/>
        <w:jc w:val="center"/>
        <w:tblCellMar>
          <w:left w:w="70" w:type="dxa"/>
          <w:right w:w="70" w:type="dxa"/>
        </w:tblCellMar>
        <w:tblLook w:val="04A0" w:firstRow="1" w:lastRow="0" w:firstColumn="1" w:lastColumn="0" w:noHBand="0" w:noVBand="1"/>
      </w:tblPr>
      <w:tblGrid>
        <w:gridCol w:w="4977"/>
        <w:gridCol w:w="1026"/>
        <w:gridCol w:w="1197"/>
      </w:tblGrid>
      <w:tr w:rsidR="00CE2445" w:rsidRPr="009B0775" w14:paraId="24E805E6" w14:textId="77777777" w:rsidTr="00435411">
        <w:trPr>
          <w:trHeight w:val="300"/>
          <w:jc w:val="center"/>
        </w:trPr>
        <w:tc>
          <w:tcPr>
            <w:tcW w:w="7200" w:type="dxa"/>
            <w:gridSpan w:val="3"/>
            <w:tcBorders>
              <w:top w:val="nil"/>
              <w:left w:val="nil"/>
              <w:bottom w:val="nil"/>
              <w:right w:val="nil"/>
            </w:tcBorders>
            <w:shd w:val="clear" w:color="auto" w:fill="auto"/>
            <w:noWrap/>
            <w:vAlign w:val="bottom"/>
            <w:hideMark/>
          </w:tcPr>
          <w:p w14:paraId="1CAFF21D" w14:textId="77777777" w:rsidR="00CE2445" w:rsidRPr="009B0775" w:rsidRDefault="00CE2445" w:rsidP="00435411">
            <w:pPr>
              <w:jc w:val="center"/>
              <w:rPr>
                <w:b/>
                <w:bCs/>
                <w:color w:val="000000"/>
                <w:sz w:val="22"/>
                <w:szCs w:val="22"/>
                <w:lang w:eastAsia="es-MX"/>
              </w:rPr>
            </w:pPr>
            <w:r w:rsidRPr="009B0775">
              <w:rPr>
                <w:b/>
                <w:bCs/>
                <w:color w:val="000000"/>
                <w:sz w:val="22"/>
                <w:szCs w:val="22"/>
              </w:rPr>
              <w:t>Principales indicadores del marco macroeconómico 2024-2025 e/</w:t>
            </w:r>
          </w:p>
        </w:tc>
      </w:tr>
      <w:tr w:rsidR="00CE2445" w:rsidRPr="009B0775" w14:paraId="1CC49652" w14:textId="77777777" w:rsidTr="00435411">
        <w:trPr>
          <w:trHeight w:val="300"/>
          <w:jc w:val="center"/>
        </w:trPr>
        <w:tc>
          <w:tcPr>
            <w:tcW w:w="4977" w:type="dxa"/>
            <w:tcBorders>
              <w:top w:val="single" w:sz="4" w:space="0" w:color="auto"/>
              <w:left w:val="nil"/>
              <w:bottom w:val="single" w:sz="4" w:space="0" w:color="auto"/>
              <w:right w:val="nil"/>
            </w:tcBorders>
            <w:shd w:val="clear" w:color="000000" w:fill="AA8622"/>
            <w:noWrap/>
            <w:vAlign w:val="bottom"/>
            <w:hideMark/>
          </w:tcPr>
          <w:p w14:paraId="74370757" w14:textId="77777777" w:rsidR="00CE2445" w:rsidRPr="009B0775" w:rsidRDefault="00CE2445" w:rsidP="00435411">
            <w:pPr>
              <w:rPr>
                <w:color w:val="000000"/>
                <w:sz w:val="18"/>
                <w:szCs w:val="18"/>
              </w:rPr>
            </w:pPr>
            <w:r w:rsidRPr="009B0775">
              <w:rPr>
                <w:color w:val="000000"/>
                <w:sz w:val="18"/>
                <w:szCs w:val="18"/>
              </w:rPr>
              <w:t xml:space="preserve">  </w:t>
            </w:r>
          </w:p>
        </w:tc>
        <w:tc>
          <w:tcPr>
            <w:tcW w:w="1026" w:type="dxa"/>
            <w:tcBorders>
              <w:top w:val="single" w:sz="4" w:space="0" w:color="auto"/>
              <w:left w:val="nil"/>
              <w:bottom w:val="single" w:sz="4" w:space="0" w:color="auto"/>
              <w:right w:val="single" w:sz="4" w:space="0" w:color="auto"/>
            </w:tcBorders>
            <w:shd w:val="clear" w:color="000000" w:fill="AA8622"/>
            <w:noWrap/>
            <w:vAlign w:val="bottom"/>
            <w:hideMark/>
          </w:tcPr>
          <w:p w14:paraId="7E219D0C" w14:textId="77777777" w:rsidR="00CE2445" w:rsidRPr="009B0775" w:rsidRDefault="00CE2445" w:rsidP="00435411">
            <w:pPr>
              <w:jc w:val="center"/>
              <w:rPr>
                <w:b/>
                <w:bCs/>
                <w:color w:val="740000"/>
                <w:sz w:val="18"/>
                <w:szCs w:val="18"/>
              </w:rPr>
            </w:pPr>
            <w:r w:rsidRPr="009B0775">
              <w:rPr>
                <w:b/>
                <w:bCs/>
                <w:color w:val="740000"/>
                <w:sz w:val="18"/>
                <w:szCs w:val="18"/>
              </w:rPr>
              <w:t>2024</w:t>
            </w:r>
          </w:p>
        </w:tc>
        <w:tc>
          <w:tcPr>
            <w:tcW w:w="1197" w:type="dxa"/>
            <w:tcBorders>
              <w:top w:val="single" w:sz="4" w:space="0" w:color="auto"/>
              <w:left w:val="nil"/>
              <w:bottom w:val="single" w:sz="4" w:space="0" w:color="auto"/>
              <w:right w:val="nil"/>
            </w:tcBorders>
            <w:shd w:val="clear" w:color="000000" w:fill="AA8622"/>
            <w:noWrap/>
            <w:vAlign w:val="bottom"/>
            <w:hideMark/>
          </w:tcPr>
          <w:p w14:paraId="6A92CCB8" w14:textId="77777777" w:rsidR="00CE2445" w:rsidRPr="009B0775" w:rsidRDefault="00CE2445" w:rsidP="00435411">
            <w:pPr>
              <w:jc w:val="center"/>
              <w:rPr>
                <w:b/>
                <w:bCs/>
                <w:color w:val="740000"/>
                <w:sz w:val="18"/>
                <w:szCs w:val="18"/>
              </w:rPr>
            </w:pPr>
            <w:r w:rsidRPr="009B0775">
              <w:rPr>
                <w:b/>
                <w:bCs/>
                <w:color w:val="740000"/>
                <w:sz w:val="18"/>
                <w:szCs w:val="18"/>
              </w:rPr>
              <w:t>2025</w:t>
            </w:r>
          </w:p>
        </w:tc>
      </w:tr>
      <w:tr w:rsidR="00CE2445" w:rsidRPr="009B0775" w14:paraId="3B7F6BBA" w14:textId="77777777" w:rsidTr="00435411">
        <w:trPr>
          <w:trHeight w:val="300"/>
          <w:jc w:val="center"/>
        </w:trPr>
        <w:tc>
          <w:tcPr>
            <w:tcW w:w="4977" w:type="dxa"/>
            <w:tcBorders>
              <w:top w:val="nil"/>
              <w:left w:val="nil"/>
              <w:bottom w:val="nil"/>
              <w:right w:val="nil"/>
            </w:tcBorders>
            <w:shd w:val="clear" w:color="auto" w:fill="auto"/>
            <w:noWrap/>
            <w:vAlign w:val="bottom"/>
            <w:hideMark/>
          </w:tcPr>
          <w:p w14:paraId="3CC79BB6" w14:textId="77777777" w:rsidR="00CE2445" w:rsidRPr="009B0775" w:rsidRDefault="00CE2445" w:rsidP="00435411">
            <w:pPr>
              <w:rPr>
                <w:color w:val="000000"/>
                <w:sz w:val="18"/>
                <w:szCs w:val="18"/>
              </w:rPr>
            </w:pPr>
            <w:r w:rsidRPr="009B0775">
              <w:rPr>
                <w:color w:val="000000"/>
                <w:sz w:val="18"/>
                <w:szCs w:val="18"/>
              </w:rPr>
              <w:t xml:space="preserve">Producto Interno Bruto </w:t>
            </w:r>
          </w:p>
        </w:tc>
        <w:tc>
          <w:tcPr>
            <w:tcW w:w="1026" w:type="dxa"/>
            <w:tcBorders>
              <w:top w:val="nil"/>
              <w:left w:val="nil"/>
              <w:bottom w:val="nil"/>
              <w:right w:val="nil"/>
            </w:tcBorders>
            <w:shd w:val="clear" w:color="auto" w:fill="auto"/>
            <w:noWrap/>
            <w:vAlign w:val="bottom"/>
            <w:hideMark/>
          </w:tcPr>
          <w:p w14:paraId="50AD5960" w14:textId="77777777" w:rsidR="00CE2445" w:rsidRPr="009B0775" w:rsidRDefault="00CE2445" w:rsidP="00435411">
            <w:pPr>
              <w:rPr>
                <w:color w:val="000000"/>
                <w:sz w:val="18"/>
                <w:szCs w:val="18"/>
              </w:rPr>
            </w:pPr>
          </w:p>
        </w:tc>
        <w:tc>
          <w:tcPr>
            <w:tcW w:w="1197" w:type="dxa"/>
            <w:tcBorders>
              <w:top w:val="nil"/>
              <w:left w:val="nil"/>
              <w:bottom w:val="nil"/>
              <w:right w:val="nil"/>
            </w:tcBorders>
            <w:shd w:val="clear" w:color="auto" w:fill="auto"/>
            <w:noWrap/>
            <w:vAlign w:val="bottom"/>
            <w:hideMark/>
          </w:tcPr>
          <w:p w14:paraId="254AA3EC" w14:textId="77777777" w:rsidR="00CE2445" w:rsidRPr="009B0775" w:rsidRDefault="00CE2445" w:rsidP="00435411">
            <w:pPr>
              <w:rPr>
                <w:sz w:val="20"/>
                <w:szCs w:val="20"/>
              </w:rPr>
            </w:pPr>
          </w:p>
        </w:tc>
      </w:tr>
      <w:tr w:rsidR="00CE2445" w:rsidRPr="009B0775" w14:paraId="60DAC1B0" w14:textId="77777777" w:rsidTr="00435411">
        <w:trPr>
          <w:trHeight w:val="300"/>
          <w:jc w:val="center"/>
        </w:trPr>
        <w:tc>
          <w:tcPr>
            <w:tcW w:w="4977" w:type="dxa"/>
            <w:tcBorders>
              <w:top w:val="nil"/>
              <w:left w:val="nil"/>
              <w:bottom w:val="nil"/>
              <w:right w:val="nil"/>
            </w:tcBorders>
            <w:shd w:val="clear" w:color="000000" w:fill="F2F2F2"/>
            <w:noWrap/>
            <w:vAlign w:val="bottom"/>
            <w:hideMark/>
          </w:tcPr>
          <w:p w14:paraId="225493FE" w14:textId="77777777" w:rsidR="00CE2445" w:rsidRPr="009B0775" w:rsidRDefault="00CE2445" w:rsidP="00435411">
            <w:pPr>
              <w:rPr>
                <w:color w:val="000000"/>
                <w:sz w:val="18"/>
                <w:szCs w:val="18"/>
              </w:rPr>
            </w:pPr>
            <w:r w:rsidRPr="009B0775">
              <w:rPr>
                <w:color w:val="000000"/>
                <w:sz w:val="18"/>
                <w:szCs w:val="18"/>
              </w:rPr>
              <w:t xml:space="preserve">     Crecimiento % real (rango) </w:t>
            </w:r>
          </w:p>
        </w:tc>
        <w:tc>
          <w:tcPr>
            <w:tcW w:w="1026" w:type="dxa"/>
            <w:tcBorders>
              <w:top w:val="nil"/>
              <w:left w:val="nil"/>
              <w:bottom w:val="nil"/>
              <w:right w:val="nil"/>
            </w:tcBorders>
            <w:shd w:val="clear" w:color="000000" w:fill="F2F2F2"/>
            <w:noWrap/>
            <w:vAlign w:val="bottom"/>
            <w:hideMark/>
          </w:tcPr>
          <w:p w14:paraId="21BE2D73" w14:textId="77777777" w:rsidR="00CE2445" w:rsidRPr="009B0775" w:rsidRDefault="00CE2445" w:rsidP="00435411">
            <w:pPr>
              <w:jc w:val="right"/>
              <w:rPr>
                <w:color w:val="000000"/>
                <w:sz w:val="18"/>
                <w:szCs w:val="18"/>
              </w:rPr>
            </w:pPr>
            <w:r w:rsidRPr="009B0775">
              <w:rPr>
                <w:color w:val="000000"/>
                <w:sz w:val="18"/>
                <w:szCs w:val="18"/>
              </w:rPr>
              <w:t xml:space="preserve">[2.5, 3.5] </w:t>
            </w:r>
          </w:p>
        </w:tc>
        <w:tc>
          <w:tcPr>
            <w:tcW w:w="1197" w:type="dxa"/>
            <w:tcBorders>
              <w:top w:val="nil"/>
              <w:left w:val="nil"/>
              <w:bottom w:val="nil"/>
              <w:right w:val="nil"/>
            </w:tcBorders>
            <w:shd w:val="clear" w:color="000000" w:fill="F2F2F2"/>
            <w:noWrap/>
            <w:vAlign w:val="bottom"/>
            <w:hideMark/>
          </w:tcPr>
          <w:p w14:paraId="17E254C5" w14:textId="77777777" w:rsidR="00CE2445" w:rsidRPr="009B0775" w:rsidRDefault="00CE2445" w:rsidP="00435411">
            <w:pPr>
              <w:jc w:val="right"/>
              <w:rPr>
                <w:color w:val="000000"/>
                <w:sz w:val="18"/>
                <w:szCs w:val="18"/>
              </w:rPr>
            </w:pPr>
            <w:r w:rsidRPr="009B0775">
              <w:rPr>
                <w:color w:val="000000"/>
                <w:sz w:val="18"/>
                <w:szCs w:val="18"/>
              </w:rPr>
              <w:t xml:space="preserve">     [2.0, 3.0] </w:t>
            </w:r>
          </w:p>
        </w:tc>
      </w:tr>
      <w:tr w:rsidR="00CE2445" w:rsidRPr="009B0775" w14:paraId="7ECC3A8D" w14:textId="77777777" w:rsidTr="00435411">
        <w:trPr>
          <w:trHeight w:val="300"/>
          <w:jc w:val="center"/>
        </w:trPr>
        <w:tc>
          <w:tcPr>
            <w:tcW w:w="4977" w:type="dxa"/>
            <w:tcBorders>
              <w:top w:val="nil"/>
              <w:left w:val="nil"/>
              <w:bottom w:val="nil"/>
              <w:right w:val="nil"/>
            </w:tcBorders>
            <w:shd w:val="clear" w:color="auto" w:fill="auto"/>
            <w:noWrap/>
            <w:vAlign w:val="bottom"/>
            <w:hideMark/>
          </w:tcPr>
          <w:p w14:paraId="434558A6" w14:textId="77777777" w:rsidR="00CE2445" w:rsidRPr="009B0775" w:rsidRDefault="00CE2445" w:rsidP="00435411">
            <w:pPr>
              <w:rPr>
                <w:color w:val="000000"/>
                <w:sz w:val="18"/>
                <w:szCs w:val="18"/>
              </w:rPr>
            </w:pPr>
            <w:r w:rsidRPr="009B0775">
              <w:rPr>
                <w:color w:val="000000"/>
                <w:sz w:val="18"/>
                <w:szCs w:val="18"/>
              </w:rPr>
              <w:t xml:space="preserve">     Nominal (miles de millones de pesos) </w:t>
            </w:r>
          </w:p>
        </w:tc>
        <w:tc>
          <w:tcPr>
            <w:tcW w:w="1026" w:type="dxa"/>
            <w:tcBorders>
              <w:top w:val="nil"/>
              <w:left w:val="nil"/>
              <w:bottom w:val="nil"/>
              <w:right w:val="nil"/>
            </w:tcBorders>
            <w:shd w:val="clear" w:color="auto" w:fill="auto"/>
            <w:noWrap/>
            <w:vAlign w:val="bottom"/>
            <w:hideMark/>
          </w:tcPr>
          <w:p w14:paraId="5666BEBB" w14:textId="77777777" w:rsidR="00CE2445" w:rsidRPr="009B0775" w:rsidRDefault="00CE2445" w:rsidP="00435411">
            <w:pPr>
              <w:jc w:val="right"/>
              <w:rPr>
                <w:color w:val="000000"/>
                <w:sz w:val="18"/>
                <w:szCs w:val="18"/>
              </w:rPr>
            </w:pPr>
            <w:r w:rsidRPr="009B0775">
              <w:rPr>
                <w:color w:val="000000"/>
                <w:sz w:val="18"/>
                <w:szCs w:val="18"/>
              </w:rPr>
              <w:t>33,927.70</w:t>
            </w:r>
          </w:p>
        </w:tc>
        <w:tc>
          <w:tcPr>
            <w:tcW w:w="1197" w:type="dxa"/>
            <w:tcBorders>
              <w:top w:val="nil"/>
              <w:left w:val="nil"/>
              <w:bottom w:val="nil"/>
              <w:right w:val="nil"/>
            </w:tcBorders>
            <w:shd w:val="clear" w:color="auto" w:fill="auto"/>
            <w:noWrap/>
            <w:vAlign w:val="bottom"/>
            <w:hideMark/>
          </w:tcPr>
          <w:p w14:paraId="3EAFF163" w14:textId="77777777" w:rsidR="00CE2445" w:rsidRPr="009B0775" w:rsidRDefault="00CE2445" w:rsidP="00435411">
            <w:pPr>
              <w:jc w:val="right"/>
              <w:rPr>
                <w:color w:val="000000"/>
                <w:sz w:val="18"/>
                <w:szCs w:val="18"/>
              </w:rPr>
            </w:pPr>
            <w:r w:rsidRPr="009B0775">
              <w:rPr>
                <w:color w:val="000000"/>
                <w:sz w:val="18"/>
                <w:szCs w:val="18"/>
              </w:rPr>
              <w:t>36,132.40</w:t>
            </w:r>
          </w:p>
        </w:tc>
      </w:tr>
      <w:tr w:rsidR="00CE2445" w:rsidRPr="009B0775" w14:paraId="5B7277AD" w14:textId="77777777" w:rsidTr="00435411">
        <w:trPr>
          <w:trHeight w:val="300"/>
          <w:jc w:val="center"/>
        </w:trPr>
        <w:tc>
          <w:tcPr>
            <w:tcW w:w="4977" w:type="dxa"/>
            <w:tcBorders>
              <w:top w:val="nil"/>
              <w:left w:val="nil"/>
              <w:bottom w:val="nil"/>
              <w:right w:val="nil"/>
            </w:tcBorders>
            <w:shd w:val="clear" w:color="000000" w:fill="F2F2F2"/>
            <w:noWrap/>
            <w:vAlign w:val="bottom"/>
            <w:hideMark/>
          </w:tcPr>
          <w:p w14:paraId="7BEF4062" w14:textId="77777777" w:rsidR="00CE2445" w:rsidRPr="009B0775" w:rsidRDefault="00CE2445" w:rsidP="00435411">
            <w:pPr>
              <w:rPr>
                <w:color w:val="000000"/>
                <w:sz w:val="18"/>
                <w:szCs w:val="18"/>
              </w:rPr>
            </w:pPr>
            <w:r w:rsidRPr="009B0775">
              <w:rPr>
                <w:color w:val="000000"/>
                <w:sz w:val="18"/>
                <w:szCs w:val="18"/>
              </w:rPr>
              <w:t xml:space="preserve">     Deflactor del PIB (variación anual, % promedio) </w:t>
            </w:r>
          </w:p>
        </w:tc>
        <w:tc>
          <w:tcPr>
            <w:tcW w:w="1026" w:type="dxa"/>
            <w:tcBorders>
              <w:top w:val="nil"/>
              <w:left w:val="nil"/>
              <w:bottom w:val="nil"/>
              <w:right w:val="nil"/>
            </w:tcBorders>
            <w:shd w:val="clear" w:color="000000" w:fill="F2F2F2"/>
            <w:noWrap/>
            <w:vAlign w:val="bottom"/>
            <w:hideMark/>
          </w:tcPr>
          <w:p w14:paraId="2485F7E6" w14:textId="77777777" w:rsidR="00CE2445" w:rsidRPr="009B0775" w:rsidRDefault="00CE2445" w:rsidP="00435411">
            <w:pPr>
              <w:jc w:val="right"/>
              <w:rPr>
                <w:color w:val="000000"/>
                <w:sz w:val="18"/>
                <w:szCs w:val="18"/>
              </w:rPr>
            </w:pPr>
            <w:r w:rsidRPr="009B0775">
              <w:rPr>
                <w:color w:val="000000"/>
                <w:sz w:val="18"/>
                <w:szCs w:val="18"/>
              </w:rPr>
              <w:t>4.1</w:t>
            </w:r>
          </w:p>
        </w:tc>
        <w:tc>
          <w:tcPr>
            <w:tcW w:w="1197" w:type="dxa"/>
            <w:tcBorders>
              <w:top w:val="nil"/>
              <w:left w:val="nil"/>
              <w:bottom w:val="nil"/>
              <w:right w:val="nil"/>
            </w:tcBorders>
            <w:shd w:val="clear" w:color="000000" w:fill="F2F2F2"/>
            <w:noWrap/>
            <w:vAlign w:val="bottom"/>
            <w:hideMark/>
          </w:tcPr>
          <w:p w14:paraId="4283F59E" w14:textId="77777777" w:rsidR="00CE2445" w:rsidRPr="009B0775" w:rsidRDefault="00CE2445" w:rsidP="00435411">
            <w:pPr>
              <w:jc w:val="right"/>
              <w:rPr>
                <w:color w:val="000000"/>
                <w:sz w:val="18"/>
                <w:szCs w:val="18"/>
              </w:rPr>
            </w:pPr>
            <w:r w:rsidRPr="009B0775">
              <w:rPr>
                <w:color w:val="000000"/>
                <w:sz w:val="18"/>
                <w:szCs w:val="18"/>
              </w:rPr>
              <w:t>3.9</w:t>
            </w:r>
          </w:p>
        </w:tc>
      </w:tr>
      <w:tr w:rsidR="00CE2445" w:rsidRPr="009B0775" w14:paraId="02EC26F4" w14:textId="77777777" w:rsidTr="00435411">
        <w:trPr>
          <w:trHeight w:val="300"/>
          <w:jc w:val="center"/>
        </w:trPr>
        <w:tc>
          <w:tcPr>
            <w:tcW w:w="4977" w:type="dxa"/>
            <w:tcBorders>
              <w:top w:val="nil"/>
              <w:left w:val="nil"/>
              <w:bottom w:val="nil"/>
              <w:right w:val="nil"/>
            </w:tcBorders>
            <w:shd w:val="clear" w:color="auto" w:fill="auto"/>
            <w:noWrap/>
            <w:vAlign w:val="bottom"/>
            <w:hideMark/>
          </w:tcPr>
          <w:p w14:paraId="51661A6A" w14:textId="77777777" w:rsidR="00CE2445" w:rsidRPr="009B0775" w:rsidRDefault="00CE2445" w:rsidP="00435411">
            <w:pPr>
              <w:rPr>
                <w:color w:val="000000"/>
                <w:sz w:val="18"/>
                <w:szCs w:val="18"/>
              </w:rPr>
            </w:pPr>
            <w:r w:rsidRPr="009B0775">
              <w:rPr>
                <w:color w:val="000000"/>
                <w:sz w:val="18"/>
                <w:szCs w:val="18"/>
              </w:rPr>
              <w:t xml:space="preserve">Inflación (%) </w:t>
            </w:r>
          </w:p>
        </w:tc>
        <w:tc>
          <w:tcPr>
            <w:tcW w:w="1026" w:type="dxa"/>
            <w:tcBorders>
              <w:top w:val="nil"/>
              <w:left w:val="nil"/>
              <w:bottom w:val="nil"/>
              <w:right w:val="nil"/>
            </w:tcBorders>
            <w:shd w:val="clear" w:color="auto" w:fill="auto"/>
            <w:noWrap/>
            <w:vAlign w:val="bottom"/>
            <w:hideMark/>
          </w:tcPr>
          <w:p w14:paraId="551023EE" w14:textId="77777777" w:rsidR="00CE2445" w:rsidRPr="009B0775" w:rsidRDefault="00CE2445" w:rsidP="00435411">
            <w:pPr>
              <w:rPr>
                <w:color w:val="000000"/>
                <w:sz w:val="18"/>
                <w:szCs w:val="18"/>
              </w:rPr>
            </w:pPr>
          </w:p>
        </w:tc>
        <w:tc>
          <w:tcPr>
            <w:tcW w:w="1197" w:type="dxa"/>
            <w:tcBorders>
              <w:top w:val="nil"/>
              <w:left w:val="nil"/>
              <w:bottom w:val="nil"/>
              <w:right w:val="nil"/>
            </w:tcBorders>
            <w:shd w:val="clear" w:color="auto" w:fill="auto"/>
            <w:noWrap/>
            <w:vAlign w:val="bottom"/>
            <w:hideMark/>
          </w:tcPr>
          <w:p w14:paraId="673F4FFA" w14:textId="77777777" w:rsidR="00CE2445" w:rsidRPr="009B0775" w:rsidRDefault="00CE2445" w:rsidP="00435411">
            <w:pPr>
              <w:rPr>
                <w:sz w:val="20"/>
                <w:szCs w:val="20"/>
              </w:rPr>
            </w:pPr>
          </w:p>
        </w:tc>
      </w:tr>
      <w:tr w:rsidR="00CE2445" w:rsidRPr="009B0775" w14:paraId="4F7B01C4" w14:textId="77777777" w:rsidTr="00435411">
        <w:trPr>
          <w:trHeight w:val="300"/>
          <w:jc w:val="center"/>
        </w:trPr>
        <w:tc>
          <w:tcPr>
            <w:tcW w:w="4977" w:type="dxa"/>
            <w:tcBorders>
              <w:top w:val="nil"/>
              <w:left w:val="nil"/>
              <w:bottom w:val="nil"/>
              <w:right w:val="nil"/>
            </w:tcBorders>
            <w:shd w:val="clear" w:color="000000" w:fill="F2F2F2"/>
            <w:noWrap/>
            <w:vAlign w:val="bottom"/>
            <w:hideMark/>
          </w:tcPr>
          <w:p w14:paraId="389F1F28" w14:textId="77777777" w:rsidR="00CE2445" w:rsidRPr="009B0775" w:rsidRDefault="00CE2445" w:rsidP="00435411">
            <w:pPr>
              <w:rPr>
                <w:color w:val="000000"/>
                <w:sz w:val="18"/>
                <w:szCs w:val="18"/>
              </w:rPr>
            </w:pPr>
            <w:r w:rsidRPr="009B0775">
              <w:rPr>
                <w:color w:val="000000"/>
                <w:sz w:val="18"/>
                <w:szCs w:val="18"/>
              </w:rPr>
              <w:t xml:space="preserve">     Dic. / dic.  </w:t>
            </w:r>
          </w:p>
        </w:tc>
        <w:tc>
          <w:tcPr>
            <w:tcW w:w="1026" w:type="dxa"/>
            <w:tcBorders>
              <w:top w:val="nil"/>
              <w:left w:val="nil"/>
              <w:bottom w:val="nil"/>
              <w:right w:val="nil"/>
            </w:tcBorders>
            <w:shd w:val="clear" w:color="000000" w:fill="F2F2F2"/>
            <w:noWrap/>
            <w:vAlign w:val="bottom"/>
            <w:hideMark/>
          </w:tcPr>
          <w:p w14:paraId="4B7B0412" w14:textId="77777777" w:rsidR="00CE2445" w:rsidRPr="009B0775" w:rsidRDefault="00CE2445" w:rsidP="00435411">
            <w:pPr>
              <w:jc w:val="right"/>
              <w:rPr>
                <w:color w:val="000000"/>
                <w:sz w:val="18"/>
                <w:szCs w:val="18"/>
              </w:rPr>
            </w:pPr>
            <w:r w:rsidRPr="009B0775">
              <w:rPr>
                <w:color w:val="000000"/>
                <w:sz w:val="18"/>
                <w:szCs w:val="18"/>
              </w:rPr>
              <w:t>3.8</w:t>
            </w:r>
          </w:p>
        </w:tc>
        <w:tc>
          <w:tcPr>
            <w:tcW w:w="1197" w:type="dxa"/>
            <w:tcBorders>
              <w:top w:val="nil"/>
              <w:left w:val="nil"/>
              <w:bottom w:val="nil"/>
              <w:right w:val="nil"/>
            </w:tcBorders>
            <w:shd w:val="clear" w:color="000000" w:fill="F2F2F2"/>
            <w:noWrap/>
            <w:vAlign w:val="bottom"/>
            <w:hideMark/>
          </w:tcPr>
          <w:p w14:paraId="4957FC68" w14:textId="77777777" w:rsidR="00CE2445" w:rsidRPr="009B0775" w:rsidRDefault="00CE2445" w:rsidP="00435411">
            <w:pPr>
              <w:jc w:val="right"/>
              <w:rPr>
                <w:color w:val="000000"/>
                <w:sz w:val="18"/>
                <w:szCs w:val="18"/>
              </w:rPr>
            </w:pPr>
            <w:r w:rsidRPr="009B0775">
              <w:rPr>
                <w:color w:val="000000"/>
                <w:sz w:val="18"/>
                <w:szCs w:val="18"/>
              </w:rPr>
              <w:t>3.3</w:t>
            </w:r>
          </w:p>
        </w:tc>
      </w:tr>
      <w:tr w:rsidR="00CE2445" w:rsidRPr="009B0775" w14:paraId="49DDB0C4" w14:textId="77777777" w:rsidTr="00435411">
        <w:trPr>
          <w:trHeight w:val="300"/>
          <w:jc w:val="center"/>
        </w:trPr>
        <w:tc>
          <w:tcPr>
            <w:tcW w:w="4977" w:type="dxa"/>
            <w:tcBorders>
              <w:top w:val="nil"/>
              <w:left w:val="nil"/>
              <w:bottom w:val="nil"/>
              <w:right w:val="nil"/>
            </w:tcBorders>
            <w:shd w:val="clear" w:color="auto" w:fill="auto"/>
            <w:noWrap/>
            <w:vAlign w:val="bottom"/>
            <w:hideMark/>
          </w:tcPr>
          <w:p w14:paraId="3CFF89D4" w14:textId="77777777" w:rsidR="00CE2445" w:rsidRPr="009B0775" w:rsidRDefault="00CE2445" w:rsidP="00435411">
            <w:pPr>
              <w:rPr>
                <w:color w:val="000000"/>
                <w:sz w:val="18"/>
                <w:szCs w:val="18"/>
              </w:rPr>
            </w:pPr>
            <w:r w:rsidRPr="009B0775">
              <w:rPr>
                <w:color w:val="000000"/>
                <w:sz w:val="18"/>
                <w:szCs w:val="18"/>
              </w:rPr>
              <w:t xml:space="preserve">Tipo de cambio nominal (pesos por dólar) </w:t>
            </w:r>
          </w:p>
        </w:tc>
        <w:tc>
          <w:tcPr>
            <w:tcW w:w="1026" w:type="dxa"/>
            <w:tcBorders>
              <w:top w:val="nil"/>
              <w:left w:val="nil"/>
              <w:bottom w:val="nil"/>
              <w:right w:val="nil"/>
            </w:tcBorders>
            <w:shd w:val="clear" w:color="auto" w:fill="auto"/>
            <w:noWrap/>
            <w:vAlign w:val="bottom"/>
            <w:hideMark/>
          </w:tcPr>
          <w:p w14:paraId="32576AC0" w14:textId="77777777" w:rsidR="00CE2445" w:rsidRPr="009B0775" w:rsidRDefault="00CE2445" w:rsidP="00435411">
            <w:pPr>
              <w:rPr>
                <w:color w:val="000000"/>
                <w:sz w:val="18"/>
                <w:szCs w:val="18"/>
              </w:rPr>
            </w:pPr>
          </w:p>
        </w:tc>
        <w:tc>
          <w:tcPr>
            <w:tcW w:w="1197" w:type="dxa"/>
            <w:tcBorders>
              <w:top w:val="nil"/>
              <w:left w:val="nil"/>
              <w:bottom w:val="nil"/>
              <w:right w:val="nil"/>
            </w:tcBorders>
            <w:shd w:val="clear" w:color="auto" w:fill="auto"/>
            <w:noWrap/>
            <w:vAlign w:val="bottom"/>
            <w:hideMark/>
          </w:tcPr>
          <w:p w14:paraId="5EA70E55" w14:textId="77777777" w:rsidR="00CE2445" w:rsidRPr="009B0775" w:rsidRDefault="00CE2445" w:rsidP="00435411">
            <w:pPr>
              <w:rPr>
                <w:sz w:val="20"/>
                <w:szCs w:val="20"/>
              </w:rPr>
            </w:pPr>
          </w:p>
        </w:tc>
      </w:tr>
      <w:tr w:rsidR="00CE2445" w:rsidRPr="009B0775" w14:paraId="37B9C6D8" w14:textId="77777777" w:rsidTr="00435411">
        <w:trPr>
          <w:trHeight w:val="300"/>
          <w:jc w:val="center"/>
        </w:trPr>
        <w:tc>
          <w:tcPr>
            <w:tcW w:w="4977" w:type="dxa"/>
            <w:tcBorders>
              <w:top w:val="nil"/>
              <w:left w:val="nil"/>
              <w:bottom w:val="nil"/>
              <w:right w:val="nil"/>
            </w:tcBorders>
            <w:shd w:val="clear" w:color="000000" w:fill="F2F2F2"/>
            <w:noWrap/>
            <w:vAlign w:val="bottom"/>
            <w:hideMark/>
          </w:tcPr>
          <w:p w14:paraId="58D31988" w14:textId="77777777" w:rsidR="00CE2445" w:rsidRPr="009B0775" w:rsidRDefault="00CE2445" w:rsidP="00435411">
            <w:pPr>
              <w:rPr>
                <w:color w:val="000000"/>
                <w:sz w:val="18"/>
                <w:szCs w:val="18"/>
              </w:rPr>
            </w:pPr>
            <w:r w:rsidRPr="009B0775">
              <w:rPr>
                <w:color w:val="000000"/>
                <w:sz w:val="18"/>
                <w:szCs w:val="18"/>
              </w:rPr>
              <w:t xml:space="preserve">     Fin de periodo </w:t>
            </w:r>
          </w:p>
        </w:tc>
        <w:tc>
          <w:tcPr>
            <w:tcW w:w="1026" w:type="dxa"/>
            <w:tcBorders>
              <w:top w:val="nil"/>
              <w:left w:val="nil"/>
              <w:bottom w:val="nil"/>
              <w:right w:val="nil"/>
            </w:tcBorders>
            <w:shd w:val="clear" w:color="000000" w:fill="F2F2F2"/>
            <w:noWrap/>
            <w:vAlign w:val="bottom"/>
            <w:hideMark/>
          </w:tcPr>
          <w:p w14:paraId="35875770" w14:textId="77777777" w:rsidR="00CE2445" w:rsidRPr="009B0775" w:rsidRDefault="00CE2445" w:rsidP="00435411">
            <w:pPr>
              <w:jc w:val="right"/>
              <w:rPr>
                <w:color w:val="000000"/>
                <w:sz w:val="18"/>
                <w:szCs w:val="18"/>
              </w:rPr>
            </w:pPr>
            <w:r w:rsidRPr="009B0775">
              <w:rPr>
                <w:color w:val="000000"/>
                <w:sz w:val="18"/>
                <w:szCs w:val="18"/>
              </w:rPr>
              <w:t>17.8</w:t>
            </w:r>
          </w:p>
        </w:tc>
        <w:tc>
          <w:tcPr>
            <w:tcW w:w="1197" w:type="dxa"/>
            <w:tcBorders>
              <w:top w:val="nil"/>
              <w:left w:val="nil"/>
              <w:bottom w:val="nil"/>
              <w:right w:val="nil"/>
            </w:tcBorders>
            <w:shd w:val="clear" w:color="000000" w:fill="F2F2F2"/>
            <w:noWrap/>
            <w:vAlign w:val="bottom"/>
            <w:hideMark/>
          </w:tcPr>
          <w:p w14:paraId="24324625" w14:textId="77777777" w:rsidR="00CE2445" w:rsidRPr="009B0775" w:rsidRDefault="00CE2445" w:rsidP="00435411">
            <w:pPr>
              <w:jc w:val="right"/>
              <w:rPr>
                <w:color w:val="000000"/>
                <w:sz w:val="18"/>
                <w:szCs w:val="18"/>
              </w:rPr>
            </w:pPr>
            <w:r w:rsidRPr="009B0775">
              <w:rPr>
                <w:color w:val="000000"/>
                <w:sz w:val="18"/>
                <w:szCs w:val="18"/>
              </w:rPr>
              <w:t>18</w:t>
            </w:r>
          </w:p>
        </w:tc>
      </w:tr>
      <w:tr w:rsidR="00CE2445" w:rsidRPr="009B0775" w14:paraId="63C2FD18" w14:textId="77777777" w:rsidTr="00435411">
        <w:trPr>
          <w:trHeight w:val="300"/>
          <w:jc w:val="center"/>
        </w:trPr>
        <w:tc>
          <w:tcPr>
            <w:tcW w:w="4977" w:type="dxa"/>
            <w:tcBorders>
              <w:top w:val="nil"/>
              <w:left w:val="nil"/>
              <w:bottom w:val="nil"/>
              <w:right w:val="nil"/>
            </w:tcBorders>
            <w:shd w:val="clear" w:color="auto" w:fill="auto"/>
            <w:noWrap/>
            <w:vAlign w:val="bottom"/>
            <w:hideMark/>
          </w:tcPr>
          <w:p w14:paraId="6D0E184B" w14:textId="77777777" w:rsidR="00CE2445" w:rsidRPr="009B0775" w:rsidRDefault="00CE2445" w:rsidP="00435411">
            <w:pPr>
              <w:rPr>
                <w:color w:val="000000"/>
                <w:sz w:val="18"/>
                <w:szCs w:val="18"/>
              </w:rPr>
            </w:pPr>
            <w:r w:rsidRPr="009B0775">
              <w:rPr>
                <w:color w:val="000000"/>
                <w:sz w:val="18"/>
                <w:szCs w:val="18"/>
              </w:rPr>
              <w:t xml:space="preserve">     Promedio  </w:t>
            </w:r>
          </w:p>
        </w:tc>
        <w:tc>
          <w:tcPr>
            <w:tcW w:w="1026" w:type="dxa"/>
            <w:tcBorders>
              <w:top w:val="nil"/>
              <w:left w:val="nil"/>
              <w:bottom w:val="nil"/>
              <w:right w:val="nil"/>
            </w:tcBorders>
            <w:shd w:val="clear" w:color="auto" w:fill="auto"/>
            <w:noWrap/>
            <w:vAlign w:val="bottom"/>
            <w:hideMark/>
          </w:tcPr>
          <w:p w14:paraId="50C6EE8E" w14:textId="77777777" w:rsidR="00CE2445" w:rsidRPr="009B0775" w:rsidRDefault="00CE2445" w:rsidP="00435411">
            <w:pPr>
              <w:jc w:val="right"/>
              <w:rPr>
                <w:color w:val="000000"/>
                <w:sz w:val="18"/>
                <w:szCs w:val="18"/>
              </w:rPr>
            </w:pPr>
            <w:r w:rsidRPr="009B0775">
              <w:rPr>
                <w:color w:val="000000"/>
                <w:sz w:val="18"/>
                <w:szCs w:val="18"/>
              </w:rPr>
              <w:t>17.6</w:t>
            </w:r>
          </w:p>
        </w:tc>
        <w:tc>
          <w:tcPr>
            <w:tcW w:w="1197" w:type="dxa"/>
            <w:tcBorders>
              <w:top w:val="nil"/>
              <w:left w:val="nil"/>
              <w:bottom w:val="nil"/>
              <w:right w:val="nil"/>
            </w:tcBorders>
            <w:shd w:val="clear" w:color="auto" w:fill="auto"/>
            <w:noWrap/>
            <w:vAlign w:val="bottom"/>
            <w:hideMark/>
          </w:tcPr>
          <w:p w14:paraId="7ABA9A6B" w14:textId="77777777" w:rsidR="00CE2445" w:rsidRPr="009B0775" w:rsidRDefault="00CE2445" w:rsidP="00435411">
            <w:pPr>
              <w:jc w:val="right"/>
              <w:rPr>
                <w:color w:val="000000"/>
                <w:sz w:val="18"/>
                <w:szCs w:val="18"/>
              </w:rPr>
            </w:pPr>
            <w:r w:rsidRPr="009B0775">
              <w:rPr>
                <w:color w:val="000000"/>
                <w:sz w:val="18"/>
                <w:szCs w:val="18"/>
              </w:rPr>
              <w:t>17.9</w:t>
            </w:r>
          </w:p>
        </w:tc>
      </w:tr>
      <w:tr w:rsidR="00CE2445" w:rsidRPr="009B0775" w14:paraId="72F745A6" w14:textId="77777777" w:rsidTr="00435411">
        <w:trPr>
          <w:trHeight w:val="300"/>
          <w:jc w:val="center"/>
        </w:trPr>
        <w:tc>
          <w:tcPr>
            <w:tcW w:w="4977" w:type="dxa"/>
            <w:tcBorders>
              <w:top w:val="nil"/>
              <w:left w:val="nil"/>
              <w:bottom w:val="nil"/>
              <w:right w:val="nil"/>
            </w:tcBorders>
            <w:shd w:val="clear" w:color="000000" w:fill="F2F2F2"/>
            <w:noWrap/>
            <w:vAlign w:val="bottom"/>
            <w:hideMark/>
          </w:tcPr>
          <w:p w14:paraId="4A74763B" w14:textId="77777777" w:rsidR="00CE2445" w:rsidRPr="009B0775" w:rsidRDefault="00CE2445" w:rsidP="00435411">
            <w:pPr>
              <w:rPr>
                <w:color w:val="000000"/>
                <w:sz w:val="18"/>
                <w:szCs w:val="18"/>
              </w:rPr>
            </w:pPr>
            <w:r w:rsidRPr="009B0775">
              <w:rPr>
                <w:color w:val="000000"/>
                <w:sz w:val="18"/>
                <w:szCs w:val="18"/>
              </w:rPr>
              <w:t xml:space="preserve">Tasa de interés (Cetes 28 días, %) </w:t>
            </w:r>
          </w:p>
        </w:tc>
        <w:tc>
          <w:tcPr>
            <w:tcW w:w="1026" w:type="dxa"/>
            <w:tcBorders>
              <w:top w:val="nil"/>
              <w:left w:val="nil"/>
              <w:bottom w:val="nil"/>
              <w:right w:val="nil"/>
            </w:tcBorders>
            <w:shd w:val="clear" w:color="000000" w:fill="F2F2F2"/>
            <w:noWrap/>
            <w:vAlign w:val="bottom"/>
            <w:hideMark/>
          </w:tcPr>
          <w:p w14:paraId="70E8A094" w14:textId="77777777" w:rsidR="00CE2445" w:rsidRPr="009B0775" w:rsidRDefault="00CE2445" w:rsidP="00435411">
            <w:pPr>
              <w:rPr>
                <w:color w:val="000000"/>
                <w:sz w:val="18"/>
                <w:szCs w:val="18"/>
              </w:rPr>
            </w:pPr>
            <w:r w:rsidRPr="009B0775">
              <w:rPr>
                <w:color w:val="000000"/>
                <w:sz w:val="18"/>
                <w:szCs w:val="18"/>
              </w:rPr>
              <w:t> </w:t>
            </w:r>
          </w:p>
        </w:tc>
        <w:tc>
          <w:tcPr>
            <w:tcW w:w="1197" w:type="dxa"/>
            <w:tcBorders>
              <w:top w:val="nil"/>
              <w:left w:val="nil"/>
              <w:bottom w:val="nil"/>
              <w:right w:val="nil"/>
            </w:tcBorders>
            <w:shd w:val="clear" w:color="000000" w:fill="F2F2F2"/>
            <w:noWrap/>
            <w:vAlign w:val="bottom"/>
            <w:hideMark/>
          </w:tcPr>
          <w:p w14:paraId="2765443B" w14:textId="77777777" w:rsidR="00CE2445" w:rsidRPr="009B0775" w:rsidRDefault="00CE2445" w:rsidP="00435411">
            <w:pPr>
              <w:rPr>
                <w:color w:val="000000"/>
                <w:sz w:val="18"/>
                <w:szCs w:val="18"/>
              </w:rPr>
            </w:pPr>
            <w:r w:rsidRPr="009B0775">
              <w:rPr>
                <w:color w:val="000000"/>
                <w:sz w:val="18"/>
                <w:szCs w:val="18"/>
              </w:rPr>
              <w:t> </w:t>
            </w:r>
          </w:p>
        </w:tc>
      </w:tr>
      <w:tr w:rsidR="00CE2445" w:rsidRPr="009B0775" w14:paraId="74AA2121" w14:textId="77777777" w:rsidTr="00435411">
        <w:trPr>
          <w:trHeight w:val="300"/>
          <w:jc w:val="center"/>
        </w:trPr>
        <w:tc>
          <w:tcPr>
            <w:tcW w:w="4977" w:type="dxa"/>
            <w:tcBorders>
              <w:top w:val="nil"/>
              <w:left w:val="nil"/>
              <w:bottom w:val="nil"/>
              <w:right w:val="nil"/>
            </w:tcBorders>
            <w:shd w:val="clear" w:color="auto" w:fill="auto"/>
            <w:noWrap/>
            <w:vAlign w:val="bottom"/>
            <w:hideMark/>
          </w:tcPr>
          <w:p w14:paraId="1337F6AE" w14:textId="77777777" w:rsidR="00CE2445" w:rsidRPr="009B0775" w:rsidRDefault="00CE2445" w:rsidP="00435411">
            <w:pPr>
              <w:rPr>
                <w:color w:val="000000"/>
                <w:sz w:val="18"/>
                <w:szCs w:val="18"/>
              </w:rPr>
            </w:pPr>
            <w:r w:rsidRPr="009B0775">
              <w:rPr>
                <w:color w:val="000000"/>
                <w:sz w:val="18"/>
                <w:szCs w:val="18"/>
              </w:rPr>
              <w:t xml:space="preserve">     Nominal fin de periodo  </w:t>
            </w:r>
          </w:p>
        </w:tc>
        <w:tc>
          <w:tcPr>
            <w:tcW w:w="1026" w:type="dxa"/>
            <w:tcBorders>
              <w:top w:val="nil"/>
              <w:left w:val="nil"/>
              <w:bottom w:val="nil"/>
              <w:right w:val="nil"/>
            </w:tcBorders>
            <w:shd w:val="clear" w:color="auto" w:fill="auto"/>
            <w:noWrap/>
            <w:vAlign w:val="bottom"/>
            <w:hideMark/>
          </w:tcPr>
          <w:p w14:paraId="64FF30F9" w14:textId="77777777" w:rsidR="00CE2445" w:rsidRPr="009B0775" w:rsidRDefault="00CE2445" w:rsidP="00435411">
            <w:pPr>
              <w:jc w:val="right"/>
              <w:rPr>
                <w:color w:val="000000"/>
                <w:sz w:val="18"/>
                <w:szCs w:val="18"/>
              </w:rPr>
            </w:pPr>
            <w:r w:rsidRPr="009B0775">
              <w:rPr>
                <w:color w:val="000000"/>
                <w:sz w:val="18"/>
                <w:szCs w:val="18"/>
              </w:rPr>
              <w:t>9.5</w:t>
            </w:r>
          </w:p>
        </w:tc>
        <w:tc>
          <w:tcPr>
            <w:tcW w:w="1197" w:type="dxa"/>
            <w:tcBorders>
              <w:top w:val="nil"/>
              <w:left w:val="nil"/>
              <w:bottom w:val="nil"/>
              <w:right w:val="nil"/>
            </w:tcBorders>
            <w:shd w:val="clear" w:color="auto" w:fill="auto"/>
            <w:noWrap/>
            <w:vAlign w:val="bottom"/>
            <w:hideMark/>
          </w:tcPr>
          <w:p w14:paraId="2D06B067" w14:textId="77777777" w:rsidR="00CE2445" w:rsidRPr="009B0775" w:rsidRDefault="00CE2445" w:rsidP="00435411">
            <w:pPr>
              <w:jc w:val="right"/>
              <w:rPr>
                <w:color w:val="000000"/>
                <w:sz w:val="18"/>
                <w:szCs w:val="18"/>
              </w:rPr>
            </w:pPr>
            <w:r w:rsidRPr="009B0775">
              <w:rPr>
                <w:color w:val="000000"/>
                <w:sz w:val="18"/>
                <w:szCs w:val="18"/>
              </w:rPr>
              <w:t>7</w:t>
            </w:r>
          </w:p>
        </w:tc>
      </w:tr>
      <w:tr w:rsidR="00CE2445" w:rsidRPr="009B0775" w14:paraId="7F47B6C3" w14:textId="77777777" w:rsidTr="00435411">
        <w:trPr>
          <w:trHeight w:val="300"/>
          <w:jc w:val="center"/>
        </w:trPr>
        <w:tc>
          <w:tcPr>
            <w:tcW w:w="4977" w:type="dxa"/>
            <w:tcBorders>
              <w:top w:val="nil"/>
              <w:left w:val="nil"/>
              <w:bottom w:val="nil"/>
              <w:right w:val="nil"/>
            </w:tcBorders>
            <w:shd w:val="clear" w:color="000000" w:fill="F2F2F2"/>
            <w:noWrap/>
            <w:vAlign w:val="bottom"/>
            <w:hideMark/>
          </w:tcPr>
          <w:p w14:paraId="3DC5D44B" w14:textId="77777777" w:rsidR="00CE2445" w:rsidRPr="009B0775" w:rsidRDefault="00CE2445" w:rsidP="00435411">
            <w:pPr>
              <w:rPr>
                <w:color w:val="000000"/>
                <w:sz w:val="18"/>
                <w:szCs w:val="18"/>
              </w:rPr>
            </w:pPr>
            <w:r w:rsidRPr="009B0775">
              <w:rPr>
                <w:color w:val="000000"/>
                <w:sz w:val="18"/>
                <w:szCs w:val="18"/>
              </w:rPr>
              <w:lastRenderedPageBreak/>
              <w:t xml:space="preserve">     Nominal promedio  </w:t>
            </w:r>
          </w:p>
        </w:tc>
        <w:tc>
          <w:tcPr>
            <w:tcW w:w="1026" w:type="dxa"/>
            <w:tcBorders>
              <w:top w:val="nil"/>
              <w:left w:val="nil"/>
              <w:bottom w:val="nil"/>
              <w:right w:val="nil"/>
            </w:tcBorders>
            <w:shd w:val="clear" w:color="000000" w:fill="F2F2F2"/>
            <w:noWrap/>
            <w:vAlign w:val="bottom"/>
            <w:hideMark/>
          </w:tcPr>
          <w:p w14:paraId="696E0AE6" w14:textId="77777777" w:rsidR="00CE2445" w:rsidRPr="009B0775" w:rsidRDefault="00CE2445" w:rsidP="00435411">
            <w:pPr>
              <w:jc w:val="right"/>
              <w:rPr>
                <w:color w:val="000000"/>
                <w:sz w:val="18"/>
                <w:szCs w:val="18"/>
              </w:rPr>
            </w:pPr>
            <w:r w:rsidRPr="009B0775">
              <w:rPr>
                <w:color w:val="000000"/>
                <w:sz w:val="18"/>
                <w:szCs w:val="18"/>
              </w:rPr>
              <w:t>10.3</w:t>
            </w:r>
          </w:p>
        </w:tc>
        <w:tc>
          <w:tcPr>
            <w:tcW w:w="1197" w:type="dxa"/>
            <w:tcBorders>
              <w:top w:val="nil"/>
              <w:left w:val="nil"/>
              <w:bottom w:val="nil"/>
              <w:right w:val="nil"/>
            </w:tcBorders>
            <w:shd w:val="clear" w:color="000000" w:fill="F2F2F2"/>
            <w:noWrap/>
            <w:vAlign w:val="bottom"/>
            <w:hideMark/>
          </w:tcPr>
          <w:p w14:paraId="3DA50899" w14:textId="77777777" w:rsidR="00CE2445" w:rsidRPr="009B0775" w:rsidRDefault="00CE2445" w:rsidP="00435411">
            <w:pPr>
              <w:jc w:val="right"/>
              <w:rPr>
                <w:color w:val="000000"/>
                <w:sz w:val="18"/>
                <w:szCs w:val="18"/>
              </w:rPr>
            </w:pPr>
            <w:r w:rsidRPr="009B0775">
              <w:rPr>
                <w:color w:val="000000"/>
                <w:sz w:val="18"/>
                <w:szCs w:val="18"/>
              </w:rPr>
              <w:t>8.1</w:t>
            </w:r>
          </w:p>
        </w:tc>
      </w:tr>
      <w:tr w:rsidR="00CE2445" w:rsidRPr="009B0775" w14:paraId="2E844BE7" w14:textId="77777777" w:rsidTr="00435411">
        <w:trPr>
          <w:trHeight w:val="300"/>
          <w:jc w:val="center"/>
        </w:trPr>
        <w:tc>
          <w:tcPr>
            <w:tcW w:w="4977" w:type="dxa"/>
            <w:tcBorders>
              <w:top w:val="nil"/>
              <w:left w:val="nil"/>
              <w:bottom w:val="nil"/>
              <w:right w:val="nil"/>
            </w:tcBorders>
            <w:shd w:val="clear" w:color="auto" w:fill="auto"/>
            <w:noWrap/>
            <w:vAlign w:val="bottom"/>
            <w:hideMark/>
          </w:tcPr>
          <w:p w14:paraId="7D3B473B" w14:textId="77777777" w:rsidR="00CE2445" w:rsidRPr="009B0775" w:rsidRDefault="00CE2445" w:rsidP="00435411">
            <w:pPr>
              <w:rPr>
                <w:color w:val="000000"/>
                <w:sz w:val="18"/>
                <w:szCs w:val="18"/>
              </w:rPr>
            </w:pPr>
            <w:r w:rsidRPr="009B0775">
              <w:rPr>
                <w:color w:val="000000"/>
                <w:sz w:val="18"/>
                <w:szCs w:val="18"/>
              </w:rPr>
              <w:t xml:space="preserve">     Real acumulada </w:t>
            </w:r>
          </w:p>
        </w:tc>
        <w:tc>
          <w:tcPr>
            <w:tcW w:w="1026" w:type="dxa"/>
            <w:tcBorders>
              <w:top w:val="nil"/>
              <w:left w:val="nil"/>
              <w:bottom w:val="nil"/>
              <w:right w:val="nil"/>
            </w:tcBorders>
            <w:shd w:val="clear" w:color="auto" w:fill="auto"/>
            <w:noWrap/>
            <w:vAlign w:val="bottom"/>
            <w:hideMark/>
          </w:tcPr>
          <w:p w14:paraId="66288DF4" w14:textId="77777777" w:rsidR="00CE2445" w:rsidRPr="009B0775" w:rsidRDefault="00CE2445" w:rsidP="00435411">
            <w:pPr>
              <w:jc w:val="right"/>
              <w:rPr>
                <w:color w:val="000000"/>
                <w:sz w:val="18"/>
                <w:szCs w:val="18"/>
              </w:rPr>
            </w:pPr>
            <w:r w:rsidRPr="009B0775">
              <w:rPr>
                <w:color w:val="000000"/>
                <w:sz w:val="18"/>
                <w:szCs w:val="18"/>
              </w:rPr>
              <w:t>6.8</w:t>
            </w:r>
          </w:p>
        </w:tc>
        <w:tc>
          <w:tcPr>
            <w:tcW w:w="1197" w:type="dxa"/>
            <w:tcBorders>
              <w:top w:val="nil"/>
              <w:left w:val="nil"/>
              <w:bottom w:val="nil"/>
              <w:right w:val="nil"/>
            </w:tcBorders>
            <w:shd w:val="clear" w:color="auto" w:fill="auto"/>
            <w:noWrap/>
            <w:vAlign w:val="bottom"/>
            <w:hideMark/>
          </w:tcPr>
          <w:p w14:paraId="3CDABCA8" w14:textId="77777777" w:rsidR="00CE2445" w:rsidRPr="009B0775" w:rsidRDefault="00CE2445" w:rsidP="00435411">
            <w:pPr>
              <w:jc w:val="right"/>
              <w:rPr>
                <w:color w:val="000000"/>
                <w:sz w:val="18"/>
                <w:szCs w:val="18"/>
              </w:rPr>
            </w:pPr>
            <w:r w:rsidRPr="009B0775">
              <w:rPr>
                <w:color w:val="000000"/>
                <w:sz w:val="18"/>
                <w:szCs w:val="18"/>
              </w:rPr>
              <w:t>4.9</w:t>
            </w:r>
          </w:p>
        </w:tc>
      </w:tr>
      <w:tr w:rsidR="00CE2445" w:rsidRPr="009B0775" w14:paraId="22A57271" w14:textId="77777777" w:rsidTr="00435411">
        <w:trPr>
          <w:trHeight w:val="300"/>
          <w:jc w:val="center"/>
        </w:trPr>
        <w:tc>
          <w:tcPr>
            <w:tcW w:w="4977" w:type="dxa"/>
            <w:tcBorders>
              <w:top w:val="nil"/>
              <w:left w:val="nil"/>
              <w:bottom w:val="nil"/>
              <w:right w:val="nil"/>
            </w:tcBorders>
            <w:shd w:val="clear" w:color="000000" w:fill="F2F2F2"/>
            <w:noWrap/>
            <w:vAlign w:val="bottom"/>
            <w:hideMark/>
          </w:tcPr>
          <w:p w14:paraId="2460B2B6" w14:textId="77777777" w:rsidR="00CE2445" w:rsidRPr="009B0775" w:rsidRDefault="00CE2445" w:rsidP="00435411">
            <w:pPr>
              <w:rPr>
                <w:color w:val="000000"/>
                <w:sz w:val="18"/>
                <w:szCs w:val="18"/>
              </w:rPr>
            </w:pPr>
            <w:r w:rsidRPr="009B0775">
              <w:rPr>
                <w:color w:val="000000"/>
                <w:sz w:val="18"/>
                <w:szCs w:val="18"/>
              </w:rPr>
              <w:t xml:space="preserve">Cuenta Corriente </w:t>
            </w:r>
          </w:p>
        </w:tc>
        <w:tc>
          <w:tcPr>
            <w:tcW w:w="1026" w:type="dxa"/>
            <w:tcBorders>
              <w:top w:val="nil"/>
              <w:left w:val="nil"/>
              <w:bottom w:val="nil"/>
              <w:right w:val="nil"/>
            </w:tcBorders>
            <w:shd w:val="clear" w:color="000000" w:fill="F2F2F2"/>
            <w:noWrap/>
            <w:vAlign w:val="bottom"/>
            <w:hideMark/>
          </w:tcPr>
          <w:p w14:paraId="2CB4C922" w14:textId="77777777" w:rsidR="00CE2445" w:rsidRPr="009B0775" w:rsidRDefault="00CE2445" w:rsidP="00435411">
            <w:pPr>
              <w:rPr>
                <w:color w:val="000000"/>
                <w:sz w:val="18"/>
                <w:szCs w:val="18"/>
              </w:rPr>
            </w:pPr>
            <w:r w:rsidRPr="009B0775">
              <w:rPr>
                <w:color w:val="000000"/>
                <w:sz w:val="18"/>
                <w:szCs w:val="18"/>
              </w:rPr>
              <w:t> </w:t>
            </w:r>
          </w:p>
        </w:tc>
        <w:tc>
          <w:tcPr>
            <w:tcW w:w="1197" w:type="dxa"/>
            <w:tcBorders>
              <w:top w:val="nil"/>
              <w:left w:val="nil"/>
              <w:bottom w:val="nil"/>
              <w:right w:val="nil"/>
            </w:tcBorders>
            <w:shd w:val="clear" w:color="000000" w:fill="F2F2F2"/>
            <w:noWrap/>
            <w:vAlign w:val="bottom"/>
            <w:hideMark/>
          </w:tcPr>
          <w:p w14:paraId="2E94EF1A" w14:textId="77777777" w:rsidR="00CE2445" w:rsidRPr="009B0775" w:rsidRDefault="00CE2445" w:rsidP="00435411">
            <w:pPr>
              <w:rPr>
                <w:color w:val="000000"/>
                <w:sz w:val="18"/>
                <w:szCs w:val="18"/>
              </w:rPr>
            </w:pPr>
            <w:r w:rsidRPr="009B0775">
              <w:rPr>
                <w:color w:val="000000"/>
                <w:sz w:val="18"/>
                <w:szCs w:val="18"/>
              </w:rPr>
              <w:t> </w:t>
            </w:r>
          </w:p>
        </w:tc>
      </w:tr>
      <w:tr w:rsidR="00CE2445" w:rsidRPr="009B0775" w14:paraId="4BF68F79" w14:textId="77777777" w:rsidTr="00435411">
        <w:trPr>
          <w:trHeight w:val="300"/>
          <w:jc w:val="center"/>
        </w:trPr>
        <w:tc>
          <w:tcPr>
            <w:tcW w:w="4977" w:type="dxa"/>
            <w:tcBorders>
              <w:top w:val="nil"/>
              <w:left w:val="nil"/>
              <w:bottom w:val="nil"/>
              <w:right w:val="nil"/>
            </w:tcBorders>
            <w:shd w:val="clear" w:color="auto" w:fill="auto"/>
            <w:noWrap/>
            <w:vAlign w:val="bottom"/>
            <w:hideMark/>
          </w:tcPr>
          <w:p w14:paraId="40242328" w14:textId="77777777" w:rsidR="00CE2445" w:rsidRPr="009B0775" w:rsidRDefault="00CE2445" w:rsidP="00435411">
            <w:pPr>
              <w:rPr>
                <w:color w:val="000000"/>
                <w:sz w:val="18"/>
                <w:szCs w:val="18"/>
              </w:rPr>
            </w:pPr>
            <w:r w:rsidRPr="009B0775">
              <w:rPr>
                <w:color w:val="000000"/>
                <w:sz w:val="18"/>
                <w:szCs w:val="18"/>
              </w:rPr>
              <w:t xml:space="preserve">     Millones de dólares </w:t>
            </w:r>
          </w:p>
        </w:tc>
        <w:tc>
          <w:tcPr>
            <w:tcW w:w="1026" w:type="dxa"/>
            <w:tcBorders>
              <w:top w:val="nil"/>
              <w:left w:val="nil"/>
              <w:bottom w:val="nil"/>
              <w:right w:val="nil"/>
            </w:tcBorders>
            <w:shd w:val="clear" w:color="auto" w:fill="auto"/>
            <w:noWrap/>
            <w:vAlign w:val="bottom"/>
            <w:hideMark/>
          </w:tcPr>
          <w:p w14:paraId="456581A9" w14:textId="77777777" w:rsidR="00CE2445" w:rsidRPr="009B0775" w:rsidRDefault="00CE2445" w:rsidP="00435411">
            <w:pPr>
              <w:jc w:val="right"/>
              <w:rPr>
                <w:color w:val="000000"/>
                <w:sz w:val="18"/>
                <w:szCs w:val="18"/>
              </w:rPr>
            </w:pPr>
            <w:r w:rsidRPr="009B0775">
              <w:rPr>
                <w:color w:val="000000"/>
                <w:sz w:val="18"/>
                <w:szCs w:val="18"/>
              </w:rPr>
              <w:t>-4,044.00</w:t>
            </w:r>
          </w:p>
        </w:tc>
        <w:tc>
          <w:tcPr>
            <w:tcW w:w="1197" w:type="dxa"/>
            <w:tcBorders>
              <w:top w:val="nil"/>
              <w:left w:val="nil"/>
              <w:bottom w:val="nil"/>
              <w:right w:val="nil"/>
            </w:tcBorders>
            <w:shd w:val="clear" w:color="auto" w:fill="auto"/>
            <w:noWrap/>
            <w:vAlign w:val="bottom"/>
            <w:hideMark/>
          </w:tcPr>
          <w:p w14:paraId="622BF8D9" w14:textId="77777777" w:rsidR="00CE2445" w:rsidRPr="009B0775" w:rsidRDefault="00CE2445" w:rsidP="00435411">
            <w:pPr>
              <w:jc w:val="right"/>
              <w:rPr>
                <w:color w:val="000000"/>
                <w:sz w:val="18"/>
                <w:szCs w:val="18"/>
              </w:rPr>
            </w:pPr>
            <w:r w:rsidRPr="009B0775">
              <w:rPr>
                <w:color w:val="000000"/>
                <w:sz w:val="18"/>
                <w:szCs w:val="18"/>
              </w:rPr>
              <w:t>-5,047.70</w:t>
            </w:r>
          </w:p>
        </w:tc>
      </w:tr>
      <w:tr w:rsidR="00CE2445" w:rsidRPr="009B0775" w14:paraId="2BC0DC55" w14:textId="77777777" w:rsidTr="00435411">
        <w:trPr>
          <w:trHeight w:val="300"/>
          <w:jc w:val="center"/>
        </w:trPr>
        <w:tc>
          <w:tcPr>
            <w:tcW w:w="4977" w:type="dxa"/>
            <w:tcBorders>
              <w:top w:val="nil"/>
              <w:left w:val="nil"/>
              <w:bottom w:val="nil"/>
              <w:right w:val="nil"/>
            </w:tcBorders>
            <w:shd w:val="clear" w:color="000000" w:fill="F2F2F2"/>
            <w:noWrap/>
            <w:vAlign w:val="bottom"/>
            <w:hideMark/>
          </w:tcPr>
          <w:p w14:paraId="4CEAEB59" w14:textId="77777777" w:rsidR="00CE2445" w:rsidRPr="009B0775" w:rsidRDefault="00CE2445" w:rsidP="00435411">
            <w:pPr>
              <w:rPr>
                <w:color w:val="000000"/>
                <w:sz w:val="18"/>
                <w:szCs w:val="18"/>
              </w:rPr>
            </w:pPr>
            <w:r w:rsidRPr="009B0775">
              <w:rPr>
                <w:color w:val="000000"/>
                <w:sz w:val="18"/>
                <w:szCs w:val="18"/>
              </w:rPr>
              <w:t xml:space="preserve">     % del PIB </w:t>
            </w:r>
          </w:p>
        </w:tc>
        <w:tc>
          <w:tcPr>
            <w:tcW w:w="1026" w:type="dxa"/>
            <w:tcBorders>
              <w:top w:val="nil"/>
              <w:left w:val="nil"/>
              <w:bottom w:val="nil"/>
              <w:right w:val="nil"/>
            </w:tcBorders>
            <w:shd w:val="clear" w:color="000000" w:fill="F2F2F2"/>
            <w:noWrap/>
            <w:vAlign w:val="bottom"/>
            <w:hideMark/>
          </w:tcPr>
          <w:p w14:paraId="6B539FBA" w14:textId="77777777" w:rsidR="00CE2445" w:rsidRPr="009B0775" w:rsidRDefault="00CE2445" w:rsidP="00435411">
            <w:pPr>
              <w:jc w:val="right"/>
              <w:rPr>
                <w:color w:val="000000"/>
                <w:sz w:val="18"/>
                <w:szCs w:val="18"/>
              </w:rPr>
            </w:pPr>
            <w:r w:rsidRPr="009B0775">
              <w:rPr>
                <w:color w:val="000000"/>
                <w:sz w:val="18"/>
                <w:szCs w:val="18"/>
              </w:rPr>
              <w:t>-0.2</w:t>
            </w:r>
          </w:p>
        </w:tc>
        <w:tc>
          <w:tcPr>
            <w:tcW w:w="1197" w:type="dxa"/>
            <w:tcBorders>
              <w:top w:val="nil"/>
              <w:left w:val="nil"/>
              <w:bottom w:val="nil"/>
              <w:right w:val="nil"/>
            </w:tcBorders>
            <w:shd w:val="clear" w:color="000000" w:fill="F2F2F2"/>
            <w:noWrap/>
            <w:vAlign w:val="bottom"/>
            <w:hideMark/>
          </w:tcPr>
          <w:p w14:paraId="0223A014" w14:textId="77777777" w:rsidR="00CE2445" w:rsidRPr="009B0775" w:rsidRDefault="00CE2445" w:rsidP="00435411">
            <w:pPr>
              <w:jc w:val="right"/>
              <w:rPr>
                <w:color w:val="000000"/>
                <w:sz w:val="18"/>
                <w:szCs w:val="18"/>
              </w:rPr>
            </w:pPr>
            <w:r w:rsidRPr="009B0775">
              <w:rPr>
                <w:color w:val="000000"/>
                <w:sz w:val="18"/>
                <w:szCs w:val="18"/>
              </w:rPr>
              <w:t>-0.3</w:t>
            </w:r>
          </w:p>
        </w:tc>
      </w:tr>
      <w:tr w:rsidR="00CE2445" w:rsidRPr="009B0775" w14:paraId="0327797C" w14:textId="77777777" w:rsidTr="00435411">
        <w:trPr>
          <w:trHeight w:val="300"/>
          <w:jc w:val="center"/>
        </w:trPr>
        <w:tc>
          <w:tcPr>
            <w:tcW w:w="4977" w:type="dxa"/>
            <w:tcBorders>
              <w:top w:val="nil"/>
              <w:left w:val="nil"/>
              <w:bottom w:val="nil"/>
              <w:right w:val="nil"/>
            </w:tcBorders>
            <w:shd w:val="clear" w:color="auto" w:fill="auto"/>
            <w:noWrap/>
            <w:vAlign w:val="bottom"/>
            <w:hideMark/>
          </w:tcPr>
          <w:p w14:paraId="20D18425" w14:textId="77777777" w:rsidR="00CE2445" w:rsidRPr="009B0775" w:rsidRDefault="00CE2445" w:rsidP="00435411">
            <w:pPr>
              <w:rPr>
                <w:color w:val="000000"/>
                <w:sz w:val="18"/>
                <w:szCs w:val="18"/>
              </w:rPr>
            </w:pPr>
            <w:r w:rsidRPr="009B0775">
              <w:rPr>
                <w:color w:val="000000"/>
                <w:sz w:val="18"/>
                <w:szCs w:val="18"/>
              </w:rPr>
              <w:t xml:space="preserve">Petróleo (canasta mexicana) </w:t>
            </w:r>
          </w:p>
        </w:tc>
        <w:tc>
          <w:tcPr>
            <w:tcW w:w="1026" w:type="dxa"/>
            <w:tcBorders>
              <w:top w:val="nil"/>
              <w:left w:val="nil"/>
              <w:bottom w:val="nil"/>
              <w:right w:val="nil"/>
            </w:tcBorders>
            <w:shd w:val="clear" w:color="auto" w:fill="auto"/>
            <w:noWrap/>
            <w:vAlign w:val="bottom"/>
            <w:hideMark/>
          </w:tcPr>
          <w:p w14:paraId="20C75310" w14:textId="77777777" w:rsidR="00CE2445" w:rsidRPr="009B0775" w:rsidRDefault="00CE2445" w:rsidP="00435411">
            <w:pPr>
              <w:rPr>
                <w:color w:val="000000"/>
                <w:sz w:val="18"/>
                <w:szCs w:val="18"/>
              </w:rPr>
            </w:pPr>
          </w:p>
        </w:tc>
        <w:tc>
          <w:tcPr>
            <w:tcW w:w="1197" w:type="dxa"/>
            <w:tcBorders>
              <w:top w:val="nil"/>
              <w:left w:val="nil"/>
              <w:bottom w:val="nil"/>
              <w:right w:val="nil"/>
            </w:tcBorders>
            <w:shd w:val="clear" w:color="auto" w:fill="auto"/>
            <w:noWrap/>
            <w:vAlign w:val="bottom"/>
            <w:hideMark/>
          </w:tcPr>
          <w:p w14:paraId="19CA5B91" w14:textId="77777777" w:rsidR="00CE2445" w:rsidRPr="009B0775" w:rsidRDefault="00CE2445" w:rsidP="00435411">
            <w:pPr>
              <w:rPr>
                <w:sz w:val="20"/>
                <w:szCs w:val="20"/>
              </w:rPr>
            </w:pPr>
          </w:p>
        </w:tc>
      </w:tr>
      <w:tr w:rsidR="00CE2445" w:rsidRPr="009B0775" w14:paraId="35F56BE8" w14:textId="77777777" w:rsidTr="00435411">
        <w:trPr>
          <w:trHeight w:val="300"/>
          <w:jc w:val="center"/>
        </w:trPr>
        <w:tc>
          <w:tcPr>
            <w:tcW w:w="4977" w:type="dxa"/>
            <w:tcBorders>
              <w:top w:val="nil"/>
              <w:left w:val="nil"/>
              <w:bottom w:val="nil"/>
              <w:right w:val="nil"/>
            </w:tcBorders>
            <w:shd w:val="clear" w:color="000000" w:fill="F2F2F2"/>
            <w:noWrap/>
            <w:vAlign w:val="bottom"/>
            <w:hideMark/>
          </w:tcPr>
          <w:p w14:paraId="1C6C392E" w14:textId="77777777" w:rsidR="00CE2445" w:rsidRPr="009B0775" w:rsidRDefault="00CE2445" w:rsidP="00435411">
            <w:pPr>
              <w:rPr>
                <w:color w:val="000000"/>
                <w:sz w:val="18"/>
                <w:szCs w:val="18"/>
              </w:rPr>
            </w:pPr>
            <w:r w:rsidRPr="009B0775">
              <w:rPr>
                <w:color w:val="000000"/>
                <w:sz w:val="18"/>
                <w:szCs w:val="18"/>
              </w:rPr>
              <w:t xml:space="preserve">     Precio promedio (dólares / barril) </w:t>
            </w:r>
          </w:p>
        </w:tc>
        <w:tc>
          <w:tcPr>
            <w:tcW w:w="1026" w:type="dxa"/>
            <w:tcBorders>
              <w:top w:val="nil"/>
              <w:left w:val="nil"/>
              <w:bottom w:val="nil"/>
              <w:right w:val="nil"/>
            </w:tcBorders>
            <w:shd w:val="clear" w:color="000000" w:fill="F2F2F2"/>
            <w:noWrap/>
            <w:vAlign w:val="bottom"/>
            <w:hideMark/>
          </w:tcPr>
          <w:p w14:paraId="7EDA56DA" w14:textId="77777777" w:rsidR="00CE2445" w:rsidRPr="009B0775" w:rsidRDefault="00CE2445" w:rsidP="00435411">
            <w:pPr>
              <w:jc w:val="right"/>
              <w:rPr>
                <w:color w:val="000000"/>
                <w:sz w:val="18"/>
                <w:szCs w:val="18"/>
              </w:rPr>
            </w:pPr>
            <w:r w:rsidRPr="009B0775">
              <w:rPr>
                <w:color w:val="000000"/>
                <w:sz w:val="18"/>
                <w:szCs w:val="18"/>
              </w:rPr>
              <w:t>71.3</w:t>
            </w:r>
          </w:p>
        </w:tc>
        <w:tc>
          <w:tcPr>
            <w:tcW w:w="1197" w:type="dxa"/>
            <w:tcBorders>
              <w:top w:val="nil"/>
              <w:left w:val="nil"/>
              <w:bottom w:val="nil"/>
              <w:right w:val="nil"/>
            </w:tcBorders>
            <w:shd w:val="clear" w:color="000000" w:fill="F2F2F2"/>
            <w:noWrap/>
            <w:vAlign w:val="bottom"/>
            <w:hideMark/>
          </w:tcPr>
          <w:p w14:paraId="1942E26F" w14:textId="77777777" w:rsidR="00CE2445" w:rsidRPr="009B0775" w:rsidRDefault="00CE2445" w:rsidP="00435411">
            <w:pPr>
              <w:jc w:val="right"/>
              <w:rPr>
                <w:color w:val="000000"/>
                <w:sz w:val="18"/>
                <w:szCs w:val="18"/>
              </w:rPr>
            </w:pPr>
            <w:r w:rsidRPr="009B0775">
              <w:rPr>
                <w:color w:val="000000"/>
                <w:sz w:val="18"/>
                <w:szCs w:val="18"/>
              </w:rPr>
              <w:t>58.4</w:t>
            </w:r>
          </w:p>
        </w:tc>
      </w:tr>
      <w:tr w:rsidR="00CE2445" w:rsidRPr="009B0775" w14:paraId="2D2450E0" w14:textId="77777777" w:rsidTr="00435411">
        <w:trPr>
          <w:trHeight w:val="300"/>
          <w:jc w:val="center"/>
        </w:trPr>
        <w:tc>
          <w:tcPr>
            <w:tcW w:w="4977" w:type="dxa"/>
            <w:tcBorders>
              <w:top w:val="nil"/>
              <w:left w:val="nil"/>
              <w:bottom w:val="nil"/>
              <w:right w:val="nil"/>
            </w:tcBorders>
            <w:shd w:val="clear" w:color="auto" w:fill="auto"/>
            <w:noWrap/>
            <w:vAlign w:val="bottom"/>
            <w:hideMark/>
          </w:tcPr>
          <w:p w14:paraId="233963DF" w14:textId="77777777" w:rsidR="00CE2445" w:rsidRPr="009B0775" w:rsidRDefault="00CE2445" w:rsidP="00435411">
            <w:pPr>
              <w:rPr>
                <w:color w:val="000000"/>
                <w:sz w:val="18"/>
                <w:szCs w:val="18"/>
              </w:rPr>
            </w:pPr>
            <w:r w:rsidRPr="009B0775">
              <w:rPr>
                <w:color w:val="000000"/>
                <w:sz w:val="18"/>
                <w:szCs w:val="18"/>
              </w:rPr>
              <w:t xml:space="preserve">     Plataforma de producción crudo total (</w:t>
            </w:r>
            <w:proofErr w:type="spellStart"/>
            <w:r w:rsidRPr="009B0775">
              <w:rPr>
                <w:color w:val="000000"/>
                <w:sz w:val="18"/>
                <w:szCs w:val="18"/>
              </w:rPr>
              <w:t>mbd</w:t>
            </w:r>
            <w:proofErr w:type="spellEnd"/>
            <w:r w:rsidRPr="009B0775">
              <w:rPr>
                <w:color w:val="000000"/>
                <w:sz w:val="18"/>
                <w:szCs w:val="18"/>
              </w:rPr>
              <w:t xml:space="preserve">) </w:t>
            </w:r>
          </w:p>
        </w:tc>
        <w:tc>
          <w:tcPr>
            <w:tcW w:w="1026" w:type="dxa"/>
            <w:tcBorders>
              <w:top w:val="nil"/>
              <w:left w:val="nil"/>
              <w:bottom w:val="nil"/>
              <w:right w:val="nil"/>
            </w:tcBorders>
            <w:shd w:val="clear" w:color="auto" w:fill="auto"/>
            <w:noWrap/>
            <w:vAlign w:val="bottom"/>
            <w:hideMark/>
          </w:tcPr>
          <w:p w14:paraId="6BB92B84" w14:textId="77777777" w:rsidR="00CE2445" w:rsidRPr="009B0775" w:rsidRDefault="00CE2445" w:rsidP="00435411">
            <w:pPr>
              <w:jc w:val="right"/>
              <w:rPr>
                <w:color w:val="000000"/>
                <w:sz w:val="18"/>
                <w:szCs w:val="18"/>
              </w:rPr>
            </w:pPr>
            <w:r w:rsidRPr="009B0775">
              <w:rPr>
                <w:color w:val="000000"/>
                <w:sz w:val="18"/>
                <w:szCs w:val="18"/>
              </w:rPr>
              <w:t>1,852.00</w:t>
            </w:r>
          </w:p>
        </w:tc>
        <w:tc>
          <w:tcPr>
            <w:tcW w:w="1197" w:type="dxa"/>
            <w:tcBorders>
              <w:top w:val="nil"/>
              <w:left w:val="nil"/>
              <w:bottom w:val="nil"/>
              <w:right w:val="nil"/>
            </w:tcBorders>
            <w:shd w:val="clear" w:color="auto" w:fill="auto"/>
            <w:noWrap/>
            <w:vAlign w:val="bottom"/>
            <w:hideMark/>
          </w:tcPr>
          <w:p w14:paraId="39C74810" w14:textId="77777777" w:rsidR="00CE2445" w:rsidRPr="009B0775" w:rsidRDefault="00CE2445" w:rsidP="00435411">
            <w:pPr>
              <w:jc w:val="right"/>
              <w:rPr>
                <w:color w:val="000000"/>
                <w:sz w:val="18"/>
                <w:szCs w:val="18"/>
              </w:rPr>
            </w:pPr>
            <w:r w:rsidRPr="009B0775">
              <w:rPr>
                <w:color w:val="000000"/>
                <w:sz w:val="18"/>
                <w:szCs w:val="18"/>
              </w:rPr>
              <w:t>1,863.10</w:t>
            </w:r>
          </w:p>
        </w:tc>
      </w:tr>
      <w:tr w:rsidR="00CE2445" w:rsidRPr="009B0775" w14:paraId="32215EDD" w14:textId="77777777" w:rsidTr="00435411">
        <w:trPr>
          <w:trHeight w:val="300"/>
          <w:jc w:val="center"/>
        </w:trPr>
        <w:tc>
          <w:tcPr>
            <w:tcW w:w="4977" w:type="dxa"/>
            <w:tcBorders>
              <w:top w:val="nil"/>
              <w:left w:val="nil"/>
              <w:bottom w:val="single" w:sz="4" w:space="0" w:color="auto"/>
              <w:right w:val="nil"/>
            </w:tcBorders>
            <w:shd w:val="clear" w:color="000000" w:fill="F2F2F2"/>
            <w:noWrap/>
            <w:vAlign w:val="bottom"/>
            <w:hideMark/>
          </w:tcPr>
          <w:p w14:paraId="653F6AA7" w14:textId="77777777" w:rsidR="00CE2445" w:rsidRPr="009B0775" w:rsidRDefault="00CE2445" w:rsidP="00435411">
            <w:pPr>
              <w:rPr>
                <w:color w:val="000000"/>
                <w:sz w:val="18"/>
                <w:szCs w:val="18"/>
              </w:rPr>
            </w:pPr>
            <w:r w:rsidRPr="009B0775">
              <w:rPr>
                <w:color w:val="000000"/>
                <w:sz w:val="18"/>
                <w:szCs w:val="18"/>
              </w:rPr>
              <w:t xml:space="preserve">     Plataforma de exportación de crudo (</w:t>
            </w:r>
            <w:proofErr w:type="spellStart"/>
            <w:r w:rsidRPr="009B0775">
              <w:rPr>
                <w:color w:val="000000"/>
                <w:sz w:val="18"/>
                <w:szCs w:val="18"/>
              </w:rPr>
              <w:t>mbd</w:t>
            </w:r>
            <w:proofErr w:type="spellEnd"/>
            <w:r w:rsidRPr="009B0775">
              <w:rPr>
                <w:color w:val="000000"/>
                <w:sz w:val="18"/>
                <w:szCs w:val="18"/>
              </w:rPr>
              <w:t xml:space="preserve">) </w:t>
            </w:r>
          </w:p>
        </w:tc>
        <w:tc>
          <w:tcPr>
            <w:tcW w:w="1026" w:type="dxa"/>
            <w:tcBorders>
              <w:top w:val="nil"/>
              <w:left w:val="nil"/>
              <w:bottom w:val="single" w:sz="4" w:space="0" w:color="auto"/>
              <w:right w:val="nil"/>
            </w:tcBorders>
            <w:shd w:val="clear" w:color="000000" w:fill="F2F2F2"/>
            <w:noWrap/>
            <w:vAlign w:val="bottom"/>
            <w:hideMark/>
          </w:tcPr>
          <w:p w14:paraId="4CEB7B3C" w14:textId="77777777" w:rsidR="00CE2445" w:rsidRPr="009B0775" w:rsidRDefault="00CE2445" w:rsidP="00435411">
            <w:pPr>
              <w:jc w:val="right"/>
              <w:rPr>
                <w:color w:val="000000"/>
                <w:sz w:val="18"/>
                <w:szCs w:val="18"/>
              </w:rPr>
            </w:pPr>
            <w:r w:rsidRPr="009B0775">
              <w:rPr>
                <w:color w:val="000000"/>
                <w:sz w:val="18"/>
                <w:szCs w:val="18"/>
              </w:rPr>
              <w:t>967.6</w:t>
            </w:r>
          </w:p>
        </w:tc>
        <w:tc>
          <w:tcPr>
            <w:tcW w:w="1197" w:type="dxa"/>
            <w:tcBorders>
              <w:top w:val="nil"/>
              <w:left w:val="nil"/>
              <w:bottom w:val="single" w:sz="4" w:space="0" w:color="auto"/>
              <w:right w:val="nil"/>
            </w:tcBorders>
            <w:shd w:val="clear" w:color="000000" w:fill="F2F2F2"/>
            <w:noWrap/>
            <w:vAlign w:val="bottom"/>
            <w:hideMark/>
          </w:tcPr>
          <w:p w14:paraId="00E37C3A" w14:textId="77777777" w:rsidR="00CE2445" w:rsidRPr="009B0775" w:rsidRDefault="00CE2445" w:rsidP="00435411">
            <w:pPr>
              <w:jc w:val="right"/>
              <w:rPr>
                <w:color w:val="000000"/>
                <w:sz w:val="18"/>
                <w:szCs w:val="18"/>
              </w:rPr>
            </w:pPr>
            <w:r w:rsidRPr="009B0775">
              <w:rPr>
                <w:color w:val="000000"/>
                <w:sz w:val="18"/>
                <w:szCs w:val="18"/>
              </w:rPr>
              <w:t>958.4</w:t>
            </w:r>
          </w:p>
        </w:tc>
      </w:tr>
      <w:tr w:rsidR="00CE2445" w:rsidRPr="009B0775" w14:paraId="7C5CE80F" w14:textId="77777777" w:rsidTr="00435411">
        <w:trPr>
          <w:trHeight w:val="300"/>
          <w:jc w:val="center"/>
        </w:trPr>
        <w:tc>
          <w:tcPr>
            <w:tcW w:w="4977" w:type="dxa"/>
            <w:tcBorders>
              <w:top w:val="nil"/>
              <w:left w:val="nil"/>
              <w:bottom w:val="nil"/>
              <w:right w:val="nil"/>
            </w:tcBorders>
            <w:shd w:val="clear" w:color="auto" w:fill="auto"/>
            <w:noWrap/>
            <w:vAlign w:val="bottom"/>
            <w:hideMark/>
          </w:tcPr>
          <w:p w14:paraId="45411B0E" w14:textId="77777777" w:rsidR="00CE2445" w:rsidRPr="009B0775" w:rsidRDefault="00CE2445" w:rsidP="00435411">
            <w:pPr>
              <w:rPr>
                <w:color w:val="000000"/>
                <w:sz w:val="16"/>
                <w:szCs w:val="16"/>
              </w:rPr>
            </w:pPr>
            <w:r w:rsidRPr="009B0775">
              <w:rPr>
                <w:color w:val="000000"/>
                <w:sz w:val="16"/>
                <w:szCs w:val="16"/>
              </w:rPr>
              <w:t xml:space="preserve"> e/ Estimado. </w:t>
            </w:r>
          </w:p>
        </w:tc>
        <w:tc>
          <w:tcPr>
            <w:tcW w:w="1026" w:type="dxa"/>
            <w:tcBorders>
              <w:top w:val="nil"/>
              <w:left w:val="nil"/>
              <w:bottom w:val="nil"/>
              <w:right w:val="nil"/>
            </w:tcBorders>
            <w:shd w:val="clear" w:color="auto" w:fill="auto"/>
            <w:noWrap/>
            <w:vAlign w:val="bottom"/>
            <w:hideMark/>
          </w:tcPr>
          <w:p w14:paraId="6DB7B419" w14:textId="77777777" w:rsidR="00CE2445" w:rsidRPr="009B0775" w:rsidRDefault="00CE2445" w:rsidP="00435411">
            <w:pPr>
              <w:rPr>
                <w:color w:val="000000"/>
                <w:sz w:val="16"/>
                <w:szCs w:val="16"/>
              </w:rPr>
            </w:pPr>
          </w:p>
        </w:tc>
        <w:tc>
          <w:tcPr>
            <w:tcW w:w="1197" w:type="dxa"/>
            <w:tcBorders>
              <w:top w:val="nil"/>
              <w:left w:val="nil"/>
              <w:bottom w:val="nil"/>
              <w:right w:val="nil"/>
            </w:tcBorders>
            <w:shd w:val="clear" w:color="auto" w:fill="auto"/>
            <w:noWrap/>
            <w:vAlign w:val="bottom"/>
            <w:hideMark/>
          </w:tcPr>
          <w:p w14:paraId="3B851AAB" w14:textId="77777777" w:rsidR="00CE2445" w:rsidRPr="009B0775" w:rsidRDefault="00CE2445" w:rsidP="00435411">
            <w:pPr>
              <w:rPr>
                <w:sz w:val="20"/>
                <w:szCs w:val="20"/>
              </w:rPr>
            </w:pPr>
          </w:p>
        </w:tc>
      </w:tr>
      <w:tr w:rsidR="00CE2445" w:rsidRPr="009B0775" w14:paraId="18C20121" w14:textId="77777777" w:rsidTr="00435411">
        <w:trPr>
          <w:trHeight w:val="300"/>
          <w:jc w:val="center"/>
        </w:trPr>
        <w:tc>
          <w:tcPr>
            <w:tcW w:w="4977" w:type="dxa"/>
            <w:tcBorders>
              <w:top w:val="nil"/>
              <w:left w:val="nil"/>
              <w:bottom w:val="nil"/>
              <w:right w:val="nil"/>
            </w:tcBorders>
            <w:shd w:val="clear" w:color="auto" w:fill="auto"/>
            <w:noWrap/>
            <w:vAlign w:val="bottom"/>
            <w:hideMark/>
          </w:tcPr>
          <w:p w14:paraId="133F94C4" w14:textId="77777777" w:rsidR="00CE2445" w:rsidRPr="009B0775" w:rsidRDefault="00CE2445" w:rsidP="00435411">
            <w:pPr>
              <w:rPr>
                <w:color w:val="000000"/>
                <w:sz w:val="16"/>
                <w:szCs w:val="16"/>
              </w:rPr>
            </w:pPr>
            <w:r w:rsidRPr="009B0775">
              <w:rPr>
                <w:color w:val="000000"/>
                <w:sz w:val="16"/>
                <w:szCs w:val="16"/>
              </w:rPr>
              <w:t xml:space="preserve">Fuente: SHCP. </w:t>
            </w:r>
          </w:p>
        </w:tc>
        <w:tc>
          <w:tcPr>
            <w:tcW w:w="1026" w:type="dxa"/>
            <w:tcBorders>
              <w:top w:val="nil"/>
              <w:left w:val="nil"/>
              <w:bottom w:val="nil"/>
              <w:right w:val="nil"/>
            </w:tcBorders>
            <w:shd w:val="clear" w:color="auto" w:fill="auto"/>
            <w:noWrap/>
            <w:vAlign w:val="bottom"/>
            <w:hideMark/>
          </w:tcPr>
          <w:p w14:paraId="093AECDC" w14:textId="77777777" w:rsidR="00CE2445" w:rsidRPr="009B0775" w:rsidRDefault="00CE2445" w:rsidP="00435411">
            <w:pPr>
              <w:rPr>
                <w:color w:val="000000"/>
                <w:sz w:val="16"/>
                <w:szCs w:val="16"/>
              </w:rPr>
            </w:pPr>
          </w:p>
        </w:tc>
        <w:tc>
          <w:tcPr>
            <w:tcW w:w="1197" w:type="dxa"/>
            <w:tcBorders>
              <w:top w:val="nil"/>
              <w:left w:val="nil"/>
              <w:bottom w:val="nil"/>
              <w:right w:val="nil"/>
            </w:tcBorders>
            <w:shd w:val="clear" w:color="auto" w:fill="auto"/>
            <w:noWrap/>
            <w:vAlign w:val="bottom"/>
            <w:hideMark/>
          </w:tcPr>
          <w:p w14:paraId="349D7C9A" w14:textId="77777777" w:rsidR="00CE2445" w:rsidRPr="009B0775" w:rsidRDefault="00CE2445" w:rsidP="00435411">
            <w:pPr>
              <w:rPr>
                <w:sz w:val="20"/>
                <w:szCs w:val="20"/>
              </w:rPr>
            </w:pPr>
          </w:p>
        </w:tc>
      </w:tr>
    </w:tbl>
    <w:p w14:paraId="65B21904" w14:textId="77777777" w:rsidR="00CE2445" w:rsidRPr="009B0775" w:rsidRDefault="00CE2445" w:rsidP="00CE2445">
      <w:pPr>
        <w:pStyle w:val="PRIMERAPLANA"/>
        <w:spacing w:line="360" w:lineRule="auto"/>
        <w:rPr>
          <w:rFonts w:ascii="Times New Roman" w:hAnsi="Times New Roman"/>
          <w:bCs/>
          <w:sz w:val="24"/>
          <w:szCs w:val="24"/>
          <w:lang w:val="es-MX"/>
        </w:rPr>
      </w:pPr>
    </w:p>
    <w:p w14:paraId="7C7699F9"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El entorno macroeconómico previsto para 2024 y 2025 se encuentra sujeto a los siguientes riesgos que podrían modificar las estimaciones anteriores:</w:t>
      </w:r>
    </w:p>
    <w:p w14:paraId="6CFDD865" w14:textId="77777777" w:rsidR="00CE2445" w:rsidRPr="00CE2445" w:rsidRDefault="00CE2445" w:rsidP="00CE2445">
      <w:pPr>
        <w:pStyle w:val="PRIMERAPLANA"/>
        <w:spacing w:line="360" w:lineRule="auto"/>
        <w:rPr>
          <w:rFonts w:ascii="Times New Roman" w:hAnsi="Times New Roman"/>
          <w:bCs/>
          <w:lang w:val="es-MX"/>
        </w:rPr>
      </w:pPr>
    </w:p>
    <w:p w14:paraId="61638D1B"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Riesgos a la Baja.</w:t>
      </w:r>
    </w:p>
    <w:p w14:paraId="43292CBC" w14:textId="77777777" w:rsidR="00CE2445" w:rsidRPr="00CE2445" w:rsidRDefault="00CE2445" w:rsidP="00CE2445">
      <w:pPr>
        <w:pStyle w:val="PRIMERAPLANA"/>
        <w:spacing w:line="360" w:lineRule="auto"/>
        <w:rPr>
          <w:rFonts w:ascii="Times New Roman" w:hAnsi="Times New Roman"/>
          <w:bCs/>
          <w:lang w:val="es-MX"/>
        </w:rPr>
      </w:pPr>
    </w:p>
    <w:p w14:paraId="1DA5FFAA" w14:textId="77777777" w:rsidR="00CE2445" w:rsidRPr="00CE2445" w:rsidRDefault="00CE2445" w:rsidP="00D50246">
      <w:pPr>
        <w:pStyle w:val="PRIMERAPLANA"/>
        <w:numPr>
          <w:ilvl w:val="0"/>
          <w:numId w:val="17"/>
        </w:numPr>
        <w:spacing w:line="360" w:lineRule="auto"/>
        <w:ind w:left="426" w:hanging="426"/>
        <w:rPr>
          <w:rFonts w:ascii="Times New Roman" w:hAnsi="Times New Roman"/>
          <w:bCs/>
          <w:lang w:val="es-MX"/>
        </w:rPr>
      </w:pPr>
      <w:r w:rsidRPr="00CE2445">
        <w:rPr>
          <w:rFonts w:ascii="Times New Roman" w:hAnsi="Times New Roman"/>
          <w:bCs/>
          <w:lang w:val="es-MX"/>
        </w:rPr>
        <w:t>Efectos climatológicos adversos que generen sequías e inundaciones extremas que repercutan en la actividad económica.</w:t>
      </w:r>
    </w:p>
    <w:p w14:paraId="044DEEA9" w14:textId="77777777" w:rsidR="00CE2445" w:rsidRPr="00CE2445" w:rsidRDefault="00CE2445" w:rsidP="00CE2445">
      <w:pPr>
        <w:pStyle w:val="PRIMERAPLANA"/>
        <w:spacing w:line="360" w:lineRule="auto"/>
        <w:ind w:left="426"/>
        <w:rPr>
          <w:rFonts w:ascii="Times New Roman" w:hAnsi="Times New Roman"/>
          <w:bCs/>
          <w:lang w:val="es-MX"/>
        </w:rPr>
      </w:pPr>
    </w:p>
    <w:p w14:paraId="3CC96AF7" w14:textId="77777777" w:rsidR="00CE2445" w:rsidRPr="00CE2445" w:rsidRDefault="00CE2445" w:rsidP="00D50246">
      <w:pPr>
        <w:pStyle w:val="PRIMERAPLANA"/>
        <w:numPr>
          <w:ilvl w:val="0"/>
          <w:numId w:val="17"/>
        </w:numPr>
        <w:spacing w:line="360" w:lineRule="auto"/>
        <w:ind w:left="426" w:hanging="426"/>
        <w:rPr>
          <w:rFonts w:ascii="Times New Roman" w:hAnsi="Times New Roman"/>
          <w:bCs/>
          <w:lang w:val="es-MX"/>
        </w:rPr>
      </w:pPr>
      <w:r w:rsidRPr="00CE2445">
        <w:rPr>
          <w:rFonts w:ascii="Times New Roman" w:hAnsi="Times New Roman"/>
          <w:bCs/>
          <w:lang w:val="es-MX"/>
        </w:rPr>
        <w:t>Prolongación o aumento de las tensiones geopolíticas que ocasionen disrupciones en las cadenas de suministro.</w:t>
      </w:r>
    </w:p>
    <w:p w14:paraId="16194798" w14:textId="77777777" w:rsidR="00CE2445" w:rsidRPr="00CE2445" w:rsidRDefault="00CE2445" w:rsidP="00CE2445">
      <w:pPr>
        <w:pStyle w:val="PRIMERAPLANA"/>
        <w:spacing w:line="360" w:lineRule="auto"/>
        <w:ind w:left="426"/>
        <w:rPr>
          <w:rFonts w:ascii="Times New Roman" w:hAnsi="Times New Roman"/>
          <w:bCs/>
          <w:lang w:val="es-MX"/>
        </w:rPr>
      </w:pPr>
    </w:p>
    <w:p w14:paraId="62DC5F18" w14:textId="77777777" w:rsidR="00CE2445" w:rsidRPr="00CE2445" w:rsidRDefault="00CE2445" w:rsidP="00D50246">
      <w:pPr>
        <w:pStyle w:val="PRIMERAPLANA"/>
        <w:numPr>
          <w:ilvl w:val="0"/>
          <w:numId w:val="17"/>
        </w:numPr>
        <w:spacing w:line="360" w:lineRule="auto"/>
        <w:ind w:left="426" w:hanging="426"/>
        <w:rPr>
          <w:rFonts w:ascii="Times New Roman" w:hAnsi="Times New Roman"/>
          <w:bCs/>
          <w:lang w:val="es-MX"/>
        </w:rPr>
      </w:pPr>
      <w:r w:rsidRPr="00CE2445">
        <w:rPr>
          <w:rFonts w:ascii="Times New Roman" w:hAnsi="Times New Roman"/>
          <w:bCs/>
          <w:lang w:val="es-MX"/>
        </w:rPr>
        <w:t xml:space="preserve">Escalamiento de conflictos geopolíticos que ocasionen la imposición de sanciones, con efectos en el abasto de insumos y disrupciones al comercio y las cadenas de valor globales. </w:t>
      </w:r>
    </w:p>
    <w:p w14:paraId="3B39037F" w14:textId="77777777" w:rsidR="00CE2445" w:rsidRPr="00CE2445" w:rsidRDefault="00CE2445" w:rsidP="00CE2445">
      <w:pPr>
        <w:pStyle w:val="Prrafodelista"/>
        <w:rPr>
          <w:bCs/>
          <w:sz w:val="20"/>
          <w:szCs w:val="20"/>
        </w:rPr>
      </w:pPr>
    </w:p>
    <w:p w14:paraId="1547E892" w14:textId="77777777" w:rsidR="00CE2445" w:rsidRPr="00CE2445" w:rsidRDefault="00CE2445" w:rsidP="00D50246">
      <w:pPr>
        <w:pStyle w:val="PRIMERAPLANA"/>
        <w:numPr>
          <w:ilvl w:val="0"/>
          <w:numId w:val="17"/>
        </w:numPr>
        <w:spacing w:line="360" w:lineRule="auto"/>
        <w:ind w:left="426" w:hanging="426"/>
        <w:rPr>
          <w:rFonts w:ascii="Times New Roman" w:hAnsi="Times New Roman"/>
          <w:bCs/>
          <w:lang w:val="es-MX"/>
        </w:rPr>
      </w:pPr>
      <w:r w:rsidRPr="00CE2445">
        <w:rPr>
          <w:rFonts w:ascii="Times New Roman" w:hAnsi="Times New Roman"/>
          <w:bCs/>
          <w:lang w:val="es-MX"/>
        </w:rPr>
        <w:t xml:space="preserve">Un incremento mayor al esperado en la producción de petróleo, o bien, una mayor desaceleración de la economía de China, lo que reduciría las cotizaciones de crudo. </w:t>
      </w:r>
    </w:p>
    <w:p w14:paraId="02B1DCD2" w14:textId="77777777" w:rsidR="00CE2445" w:rsidRPr="00CE2445" w:rsidRDefault="00CE2445" w:rsidP="00CE2445">
      <w:pPr>
        <w:pStyle w:val="Prrafodelista"/>
        <w:rPr>
          <w:bCs/>
          <w:sz w:val="20"/>
          <w:szCs w:val="20"/>
        </w:rPr>
      </w:pPr>
    </w:p>
    <w:p w14:paraId="7C71051B" w14:textId="77777777" w:rsidR="00CE2445" w:rsidRPr="00CE2445" w:rsidRDefault="00CE2445" w:rsidP="00D50246">
      <w:pPr>
        <w:pStyle w:val="PRIMERAPLANA"/>
        <w:numPr>
          <w:ilvl w:val="0"/>
          <w:numId w:val="17"/>
        </w:numPr>
        <w:spacing w:line="360" w:lineRule="auto"/>
        <w:ind w:left="426" w:hanging="426"/>
        <w:rPr>
          <w:rFonts w:ascii="Times New Roman" w:hAnsi="Times New Roman"/>
          <w:bCs/>
          <w:lang w:val="es-MX"/>
        </w:rPr>
      </w:pPr>
      <w:r w:rsidRPr="00CE2445">
        <w:rPr>
          <w:rFonts w:ascii="Times New Roman" w:hAnsi="Times New Roman"/>
          <w:bCs/>
          <w:lang w:val="es-MX"/>
        </w:rPr>
        <w:t>Condiciones financieras restrictivas que afecten la actividad económica y aumenten vulnerabilidad del sistema financiero.</w:t>
      </w:r>
    </w:p>
    <w:p w14:paraId="16DDCC15" w14:textId="77777777" w:rsidR="00CE2445" w:rsidRPr="00CE2445" w:rsidRDefault="00CE2445" w:rsidP="00CE2445">
      <w:pPr>
        <w:pStyle w:val="Prrafodelista"/>
        <w:rPr>
          <w:bCs/>
          <w:sz w:val="20"/>
          <w:szCs w:val="20"/>
        </w:rPr>
      </w:pPr>
    </w:p>
    <w:p w14:paraId="55EB01FE" w14:textId="77777777" w:rsidR="00CE2445" w:rsidRPr="00CE2445" w:rsidRDefault="00CE2445" w:rsidP="00D50246">
      <w:pPr>
        <w:pStyle w:val="PRIMERAPLANA"/>
        <w:numPr>
          <w:ilvl w:val="0"/>
          <w:numId w:val="17"/>
        </w:numPr>
        <w:spacing w:line="360" w:lineRule="auto"/>
        <w:ind w:left="426" w:hanging="426"/>
        <w:rPr>
          <w:rFonts w:ascii="Times New Roman" w:hAnsi="Times New Roman"/>
          <w:bCs/>
          <w:lang w:val="es-MX"/>
        </w:rPr>
      </w:pPr>
      <w:r w:rsidRPr="00CE2445">
        <w:rPr>
          <w:rFonts w:ascii="Times New Roman" w:hAnsi="Times New Roman"/>
          <w:bCs/>
          <w:lang w:val="es-MX"/>
        </w:rPr>
        <w:t>Una mayor desaceleración que la esperada de la economía global que afecte la demanda interna y reduzca las exportaciones de México.</w:t>
      </w:r>
    </w:p>
    <w:p w14:paraId="33B8483D" w14:textId="44A9E153" w:rsidR="00CE2445" w:rsidRDefault="00CE2445" w:rsidP="00CE2445">
      <w:pPr>
        <w:pStyle w:val="PRIMERAPLANA"/>
        <w:spacing w:line="360" w:lineRule="auto"/>
        <w:rPr>
          <w:rFonts w:ascii="Times New Roman" w:hAnsi="Times New Roman"/>
          <w:bCs/>
          <w:lang w:val="es-MX"/>
        </w:rPr>
      </w:pPr>
    </w:p>
    <w:p w14:paraId="4436123B" w14:textId="69663C8B" w:rsidR="00CE2445" w:rsidRDefault="00CE2445" w:rsidP="00CE2445">
      <w:pPr>
        <w:pStyle w:val="PRIMERAPLANA"/>
        <w:spacing w:line="360" w:lineRule="auto"/>
        <w:rPr>
          <w:rFonts w:ascii="Times New Roman" w:hAnsi="Times New Roman"/>
          <w:bCs/>
          <w:lang w:val="es-MX"/>
        </w:rPr>
      </w:pPr>
    </w:p>
    <w:p w14:paraId="122D9BE8" w14:textId="77777777" w:rsidR="00CE2445" w:rsidRPr="00CE2445" w:rsidRDefault="00CE2445" w:rsidP="00CE2445">
      <w:pPr>
        <w:pStyle w:val="PRIMERAPLANA"/>
        <w:spacing w:line="360" w:lineRule="auto"/>
        <w:rPr>
          <w:rFonts w:ascii="Times New Roman" w:hAnsi="Times New Roman"/>
          <w:bCs/>
          <w:lang w:val="es-MX"/>
        </w:rPr>
      </w:pPr>
    </w:p>
    <w:p w14:paraId="3FB81344"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Riesgos al Alza.</w:t>
      </w:r>
    </w:p>
    <w:p w14:paraId="13C80002" w14:textId="77777777" w:rsidR="00CE2445" w:rsidRPr="00CE2445" w:rsidRDefault="00CE2445" w:rsidP="00CE2445">
      <w:pPr>
        <w:pStyle w:val="PRIMERAPLANA"/>
        <w:spacing w:line="360" w:lineRule="auto"/>
        <w:rPr>
          <w:rFonts w:ascii="Times New Roman" w:hAnsi="Times New Roman"/>
          <w:bCs/>
          <w:lang w:val="es-MX"/>
        </w:rPr>
      </w:pPr>
    </w:p>
    <w:p w14:paraId="7AB4FA34" w14:textId="77777777" w:rsidR="00CE2445" w:rsidRPr="00CE2445" w:rsidRDefault="00CE2445" w:rsidP="00D50246">
      <w:pPr>
        <w:pStyle w:val="PRIMERAPLANA"/>
        <w:numPr>
          <w:ilvl w:val="0"/>
          <w:numId w:val="17"/>
        </w:numPr>
        <w:spacing w:line="360" w:lineRule="auto"/>
        <w:ind w:left="426" w:hanging="426"/>
        <w:rPr>
          <w:rFonts w:ascii="Times New Roman" w:hAnsi="Times New Roman"/>
          <w:bCs/>
          <w:lang w:val="es-MX"/>
        </w:rPr>
      </w:pPr>
      <w:r w:rsidRPr="00CE2445">
        <w:rPr>
          <w:rFonts w:ascii="Times New Roman" w:hAnsi="Times New Roman"/>
          <w:bCs/>
          <w:lang w:val="es-MX"/>
        </w:rPr>
        <w:t xml:space="preserve">Una disminución más rápida de cuellos de botella en la producción y condiciones climatológicas que afectan la producción o el transporte de mercancías. </w:t>
      </w:r>
    </w:p>
    <w:p w14:paraId="0BEFA6E9" w14:textId="77777777" w:rsidR="00CE2445" w:rsidRPr="00CE2445" w:rsidRDefault="00CE2445" w:rsidP="00CE2445">
      <w:pPr>
        <w:pStyle w:val="PRIMERAPLANA"/>
        <w:spacing w:line="360" w:lineRule="auto"/>
        <w:ind w:left="426"/>
        <w:rPr>
          <w:rFonts w:ascii="Times New Roman" w:hAnsi="Times New Roman"/>
          <w:bCs/>
          <w:lang w:val="es-MX"/>
        </w:rPr>
      </w:pPr>
    </w:p>
    <w:p w14:paraId="03E3029A" w14:textId="77777777" w:rsidR="00CE2445" w:rsidRPr="00CE2445" w:rsidRDefault="00CE2445" w:rsidP="00D50246">
      <w:pPr>
        <w:pStyle w:val="PRIMERAPLANA"/>
        <w:numPr>
          <w:ilvl w:val="0"/>
          <w:numId w:val="17"/>
        </w:numPr>
        <w:spacing w:line="360" w:lineRule="auto"/>
        <w:ind w:left="426" w:hanging="426"/>
        <w:rPr>
          <w:rFonts w:ascii="Times New Roman" w:hAnsi="Times New Roman"/>
          <w:bCs/>
          <w:lang w:val="es-MX"/>
        </w:rPr>
      </w:pPr>
      <w:r w:rsidRPr="00CE2445">
        <w:rPr>
          <w:rFonts w:ascii="Times New Roman" w:hAnsi="Times New Roman"/>
          <w:bCs/>
          <w:lang w:val="es-MX"/>
        </w:rPr>
        <w:t>Que los proyectos de infraestructura aceleren sus beneficios sobre el crecimiento económico y su impacto sobre el PIB potencial.</w:t>
      </w:r>
    </w:p>
    <w:p w14:paraId="36E78C23" w14:textId="77777777" w:rsidR="00CE2445" w:rsidRPr="00CE2445" w:rsidRDefault="00CE2445" w:rsidP="00CE2445">
      <w:pPr>
        <w:pStyle w:val="Prrafodelista"/>
        <w:rPr>
          <w:bCs/>
          <w:sz w:val="20"/>
          <w:szCs w:val="20"/>
        </w:rPr>
      </w:pPr>
    </w:p>
    <w:p w14:paraId="6BF7EB69" w14:textId="77777777" w:rsidR="00CE2445" w:rsidRPr="00CE2445" w:rsidRDefault="00CE2445" w:rsidP="00D50246">
      <w:pPr>
        <w:pStyle w:val="PRIMERAPLANA"/>
        <w:numPr>
          <w:ilvl w:val="0"/>
          <w:numId w:val="17"/>
        </w:numPr>
        <w:spacing w:line="360" w:lineRule="auto"/>
        <w:ind w:left="426" w:hanging="426"/>
        <w:rPr>
          <w:rFonts w:ascii="Times New Roman" w:hAnsi="Times New Roman"/>
          <w:bCs/>
          <w:lang w:val="es-MX"/>
        </w:rPr>
      </w:pPr>
      <w:r w:rsidRPr="00CE2445">
        <w:rPr>
          <w:rFonts w:ascii="Times New Roman" w:hAnsi="Times New Roman"/>
          <w:bCs/>
          <w:lang w:val="es-MX"/>
        </w:rPr>
        <w:t>Aumento más rápido y significativo de la integración comercial de Norteamérica.</w:t>
      </w:r>
    </w:p>
    <w:p w14:paraId="210F0D0A" w14:textId="77777777" w:rsidR="00CE2445" w:rsidRPr="00CE2445" w:rsidRDefault="00CE2445" w:rsidP="00CE2445">
      <w:pPr>
        <w:pStyle w:val="Prrafodelista"/>
        <w:rPr>
          <w:bCs/>
          <w:sz w:val="20"/>
          <w:szCs w:val="20"/>
        </w:rPr>
      </w:pPr>
    </w:p>
    <w:p w14:paraId="5973EFB4" w14:textId="77777777" w:rsidR="00CE2445" w:rsidRPr="00CE2445" w:rsidRDefault="00CE2445" w:rsidP="00D50246">
      <w:pPr>
        <w:pStyle w:val="PRIMERAPLANA"/>
        <w:numPr>
          <w:ilvl w:val="0"/>
          <w:numId w:val="17"/>
        </w:numPr>
        <w:spacing w:line="360" w:lineRule="auto"/>
        <w:ind w:left="426" w:hanging="426"/>
        <w:rPr>
          <w:rFonts w:ascii="Times New Roman" w:hAnsi="Times New Roman"/>
          <w:bCs/>
          <w:lang w:val="es-MX"/>
        </w:rPr>
      </w:pPr>
      <w:r w:rsidRPr="00CE2445">
        <w:rPr>
          <w:rFonts w:ascii="Times New Roman" w:hAnsi="Times New Roman"/>
          <w:bCs/>
          <w:lang w:val="es-MX"/>
        </w:rPr>
        <w:t xml:space="preserve">Resolución o disminución de la gravedad de las tensiones comerciales que permitan la eliminación de sanciones en el mundo. </w:t>
      </w:r>
    </w:p>
    <w:p w14:paraId="4FBFB9A3" w14:textId="77777777" w:rsidR="00CE2445" w:rsidRPr="00CE2445" w:rsidRDefault="00CE2445" w:rsidP="00CE2445">
      <w:pPr>
        <w:pStyle w:val="Prrafodelista"/>
        <w:rPr>
          <w:bCs/>
          <w:sz w:val="20"/>
          <w:szCs w:val="20"/>
        </w:rPr>
      </w:pPr>
    </w:p>
    <w:p w14:paraId="0941759D" w14:textId="77777777" w:rsidR="00CE2445" w:rsidRPr="00CE2445" w:rsidRDefault="00CE2445" w:rsidP="00D50246">
      <w:pPr>
        <w:pStyle w:val="PRIMERAPLANA"/>
        <w:numPr>
          <w:ilvl w:val="0"/>
          <w:numId w:val="17"/>
        </w:numPr>
        <w:spacing w:line="360" w:lineRule="auto"/>
        <w:ind w:left="426" w:hanging="426"/>
        <w:rPr>
          <w:rFonts w:ascii="Times New Roman" w:hAnsi="Times New Roman"/>
          <w:bCs/>
          <w:lang w:val="es-MX"/>
        </w:rPr>
      </w:pPr>
      <w:r w:rsidRPr="00CE2445">
        <w:rPr>
          <w:rFonts w:ascii="Times New Roman" w:hAnsi="Times New Roman"/>
          <w:bCs/>
          <w:lang w:val="es-MX"/>
        </w:rPr>
        <w:t xml:space="preserve">Aumento de las cotizaciones de petróleo con beneficio en el valor de las exportaciones petroleras y la industria manufacturera y minera. </w:t>
      </w:r>
    </w:p>
    <w:p w14:paraId="2F49C1E2" w14:textId="77777777" w:rsidR="00CE2445" w:rsidRPr="00CE2445" w:rsidRDefault="00CE2445" w:rsidP="00CE2445">
      <w:pPr>
        <w:pStyle w:val="Prrafodelista"/>
        <w:rPr>
          <w:bCs/>
          <w:sz w:val="20"/>
          <w:szCs w:val="20"/>
        </w:rPr>
      </w:pPr>
    </w:p>
    <w:p w14:paraId="3B9FB745" w14:textId="77777777" w:rsidR="00CE2445" w:rsidRPr="00CE2445" w:rsidRDefault="00CE2445" w:rsidP="00D50246">
      <w:pPr>
        <w:pStyle w:val="PRIMERAPLANA"/>
        <w:numPr>
          <w:ilvl w:val="0"/>
          <w:numId w:val="17"/>
        </w:numPr>
        <w:spacing w:line="360" w:lineRule="auto"/>
        <w:ind w:left="426" w:hanging="426"/>
        <w:rPr>
          <w:rFonts w:ascii="Times New Roman" w:hAnsi="Times New Roman"/>
          <w:bCs/>
          <w:lang w:val="es-MX"/>
        </w:rPr>
      </w:pPr>
      <w:r w:rsidRPr="00CE2445">
        <w:rPr>
          <w:rFonts w:ascii="Times New Roman" w:hAnsi="Times New Roman"/>
          <w:bCs/>
          <w:lang w:val="es-MX"/>
        </w:rPr>
        <w:t>Reducción significativa de las tasas de interés y las primas de riesgo, aunado a un mayor acceso de financiamiento por parte de las empresas.</w:t>
      </w:r>
    </w:p>
    <w:p w14:paraId="04414F94" w14:textId="77777777" w:rsidR="00046FA9" w:rsidRDefault="00046FA9" w:rsidP="00CE2445">
      <w:pPr>
        <w:pStyle w:val="PRIMERAPLANA"/>
        <w:spacing w:line="360" w:lineRule="auto"/>
        <w:rPr>
          <w:rFonts w:ascii="Times New Roman" w:hAnsi="Times New Roman"/>
          <w:bCs/>
          <w:lang w:val="es-MX"/>
        </w:rPr>
      </w:pPr>
    </w:p>
    <w:p w14:paraId="7946A66F"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Se espera que los ingresos presupuestarios sean superiores a los previstos en la Ley de Ingresos de la Federación (LIF) 2024 en 114 mil millones de pesos. Esto se explica, en gran medida, por una mejora en la estimación de los precios de la MME, al pasar de 56.7 a 71.3 dpb, resultado de la evolución al alza del precio internacional del crudo. Lo anterior conlleva ingresos petroleros adicionales por 55 mil millones de pesos respecto a lo programado. En cuanto a los ingresos tributarios, el mayor nivel de recaudación alcanzado al cierre de 2023 respecto al cierre estimado resulta en un aumento de la recaudación de 15 mil millones de pesos en comparación con lo previsto en la LIF 2024. Asimismo, se esperan mayores ingresos propios de los organismos y empresas distintas de Pemex por 3 mil millones de pesos y mayores ingresos no tributarios del Gobierno Federal en 41 mil millones de pesos.</w:t>
      </w:r>
    </w:p>
    <w:p w14:paraId="266BDE65" w14:textId="77777777" w:rsidR="00CE2445" w:rsidRPr="00CE2445" w:rsidRDefault="00CE2445" w:rsidP="00CE2445">
      <w:pPr>
        <w:pStyle w:val="PRIMERAPLANA"/>
        <w:spacing w:line="360" w:lineRule="auto"/>
        <w:rPr>
          <w:rFonts w:ascii="Times New Roman" w:hAnsi="Times New Roman"/>
          <w:bCs/>
          <w:lang w:val="es-MX"/>
        </w:rPr>
      </w:pPr>
    </w:p>
    <w:p w14:paraId="133F9C17"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En materia de gasto público, se anticipa una reducción de 35 mil millones de pesos en el costo financiero respecto al nivel aprobado, derivado de las acciones emprendidas para mejorar el perfil de vencimientos del Gobierno Federal y reducir riesgos financieros. A lo anterior se suma un menor gasto en </w:t>
      </w:r>
      <w:proofErr w:type="spellStart"/>
      <w:r w:rsidRPr="00CE2445">
        <w:rPr>
          <w:rFonts w:ascii="Times New Roman" w:hAnsi="Times New Roman"/>
          <w:bCs/>
          <w:lang w:val="es-MX"/>
        </w:rPr>
        <w:t>Adefas</w:t>
      </w:r>
      <w:proofErr w:type="spellEnd"/>
      <w:r w:rsidRPr="00CE2445">
        <w:rPr>
          <w:rFonts w:ascii="Times New Roman" w:hAnsi="Times New Roman"/>
          <w:bCs/>
          <w:lang w:val="es-MX"/>
        </w:rPr>
        <w:t xml:space="preserve"> en 12 mil millones de pesos, que será parcialmente compensado por mayores participaciones </w:t>
      </w:r>
      <w:r w:rsidRPr="00CE2445">
        <w:rPr>
          <w:rFonts w:ascii="Times New Roman" w:hAnsi="Times New Roman"/>
          <w:bCs/>
          <w:lang w:val="es-MX"/>
        </w:rPr>
        <w:lastRenderedPageBreak/>
        <w:t xml:space="preserve">a las entidades federativas y municipios en 4 mil millones de pesos respecto a lo aprobado debido al mejor desempeño de la recaudación federal participable. </w:t>
      </w:r>
    </w:p>
    <w:p w14:paraId="0A53D834" w14:textId="77777777" w:rsidR="00CE2445" w:rsidRPr="00CE2445" w:rsidRDefault="00CE2445" w:rsidP="00CE2445">
      <w:pPr>
        <w:pStyle w:val="PRIMERAPLANA"/>
        <w:spacing w:line="360" w:lineRule="auto"/>
        <w:rPr>
          <w:rFonts w:ascii="Times New Roman" w:hAnsi="Times New Roman"/>
          <w:bCs/>
          <w:lang w:val="es-MX"/>
        </w:rPr>
      </w:pPr>
    </w:p>
    <w:p w14:paraId="4D99FF0F"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Ante la expectativa de mayores ingresos presupuestarios y un menor costo financiero, se estima un aumento del gasto programable de 165 mil millones de pesos. En este contexto, se proyecta que el déficit presupuestario alcanzará un nivel equivalente al 5.0% del PIB, de acuerdo con el monto aprobado por el H. Congreso de la Unión; se estima que los RFSP alcanzarán un nivel de 5.9% del PIB. El saldo de la deuda pública se ubicará en un nivel de 50.2% del PIB al cierre de la administración, lo cual garantiza una deuda pública sostenible.</w:t>
      </w:r>
    </w:p>
    <w:p w14:paraId="27DAB6D2" w14:textId="77777777" w:rsidR="00CE2445" w:rsidRPr="00CE2445" w:rsidRDefault="00CE2445" w:rsidP="00CE2445">
      <w:pPr>
        <w:pStyle w:val="PRIMERAPLANA"/>
        <w:spacing w:line="360" w:lineRule="auto"/>
        <w:rPr>
          <w:rFonts w:ascii="Times New Roman" w:hAnsi="Times New Roman"/>
          <w:bCs/>
          <w:lang w:val="es-MX"/>
        </w:rPr>
      </w:pPr>
    </w:p>
    <w:p w14:paraId="0CA45E00"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Con relación a la evolución de las finanzas públicas hacia el ejercicio fiscal 2025, se proyecta un escenario de consolidación fiscal con un balance primario positivo y un nivel de deuda como porcentaje del PIB de 50.2%, en línea con el cumplimiento de la LFPRH y su Reglamento. Para tal fin, los RFSP se ubicarán en 3.0% del PIB en 2025, lo cual implica un superávit primario de 0.9% del PIB y un equilibrio en el balance presupuestario sin inversión. Cabe destacar que las proyecciones parten de un marco macroeconómico prudente, con proyecciones inerciales de las finanzas públicas y sin modificaciones al marco tributario vigente.</w:t>
      </w:r>
    </w:p>
    <w:p w14:paraId="18B6D2F6" w14:textId="77777777" w:rsidR="00CE2445" w:rsidRPr="00CE2445" w:rsidRDefault="00CE2445" w:rsidP="00CE2445">
      <w:pPr>
        <w:pStyle w:val="PRIMERAPLANA"/>
        <w:spacing w:line="360" w:lineRule="auto"/>
        <w:rPr>
          <w:rFonts w:ascii="Times New Roman" w:hAnsi="Times New Roman"/>
          <w:bCs/>
          <w:lang w:val="es-MX"/>
        </w:rPr>
      </w:pPr>
    </w:p>
    <w:p w14:paraId="38C7DA3F"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Para 2025 se estima que los ingresos presupuestarios sean mayores en 163 mil millones de pesos de 2025 respecto al monto previsto en la LIF 2024. La meta de déficit presupuestario de 2.5% del PIB y los ingresos estimados implican que el gasto neto total pagado disminuya en 706 mil millones de pesos de 2025 respecto al monto aprobado en el Presupuesto de Egresos de la Federación (PEF) 2024, es decir, una reducción de 7.5% real.</w:t>
      </w:r>
    </w:p>
    <w:tbl>
      <w:tblPr>
        <w:tblW w:w="6720" w:type="dxa"/>
        <w:jc w:val="center"/>
        <w:tblCellMar>
          <w:left w:w="70" w:type="dxa"/>
          <w:right w:w="70" w:type="dxa"/>
        </w:tblCellMar>
        <w:tblLook w:val="04A0" w:firstRow="1" w:lastRow="0" w:firstColumn="1" w:lastColumn="0" w:noHBand="0" w:noVBand="1"/>
      </w:tblPr>
      <w:tblGrid>
        <w:gridCol w:w="4646"/>
        <w:gridCol w:w="957"/>
        <w:gridCol w:w="1117"/>
      </w:tblGrid>
      <w:tr w:rsidR="00CE2445" w:rsidRPr="00CE2445" w14:paraId="04458959" w14:textId="77777777" w:rsidTr="00435411">
        <w:trPr>
          <w:trHeight w:val="300"/>
          <w:jc w:val="center"/>
        </w:trPr>
        <w:tc>
          <w:tcPr>
            <w:tcW w:w="6720" w:type="dxa"/>
            <w:gridSpan w:val="3"/>
            <w:tcBorders>
              <w:top w:val="nil"/>
              <w:left w:val="nil"/>
              <w:bottom w:val="nil"/>
              <w:right w:val="nil"/>
            </w:tcBorders>
            <w:shd w:val="clear" w:color="auto" w:fill="auto"/>
            <w:noWrap/>
            <w:vAlign w:val="bottom"/>
            <w:hideMark/>
          </w:tcPr>
          <w:p w14:paraId="660C632C" w14:textId="77777777" w:rsidR="00CE2445" w:rsidRPr="00CE2445" w:rsidRDefault="00CE2445" w:rsidP="00435411">
            <w:pPr>
              <w:jc w:val="center"/>
              <w:rPr>
                <w:b/>
                <w:bCs/>
                <w:color w:val="000000"/>
                <w:sz w:val="20"/>
                <w:szCs w:val="20"/>
                <w:lang w:eastAsia="es-MX"/>
              </w:rPr>
            </w:pPr>
            <w:r w:rsidRPr="00CE2445">
              <w:rPr>
                <w:b/>
                <w:bCs/>
                <w:color w:val="000000"/>
                <w:sz w:val="20"/>
                <w:szCs w:val="20"/>
              </w:rPr>
              <w:t>Marco macroeconómico 2024-2025 e/</w:t>
            </w:r>
          </w:p>
        </w:tc>
      </w:tr>
      <w:tr w:rsidR="00CE2445" w:rsidRPr="00CE2445" w14:paraId="12BBC5FA" w14:textId="77777777" w:rsidTr="00435411">
        <w:trPr>
          <w:trHeight w:val="300"/>
          <w:jc w:val="center"/>
        </w:trPr>
        <w:tc>
          <w:tcPr>
            <w:tcW w:w="4646" w:type="dxa"/>
            <w:tcBorders>
              <w:top w:val="single" w:sz="4" w:space="0" w:color="auto"/>
              <w:left w:val="nil"/>
              <w:bottom w:val="single" w:sz="4" w:space="0" w:color="auto"/>
              <w:right w:val="nil"/>
            </w:tcBorders>
            <w:shd w:val="clear" w:color="000000" w:fill="AA8622"/>
            <w:noWrap/>
            <w:vAlign w:val="bottom"/>
            <w:hideMark/>
          </w:tcPr>
          <w:p w14:paraId="7AB2C032" w14:textId="77777777" w:rsidR="00CE2445" w:rsidRPr="00CE2445" w:rsidRDefault="00CE2445" w:rsidP="00435411">
            <w:pPr>
              <w:rPr>
                <w:color w:val="000000"/>
                <w:sz w:val="20"/>
                <w:szCs w:val="20"/>
              </w:rPr>
            </w:pPr>
            <w:r w:rsidRPr="00CE2445">
              <w:rPr>
                <w:color w:val="000000"/>
                <w:sz w:val="20"/>
                <w:szCs w:val="20"/>
              </w:rPr>
              <w:t xml:space="preserve">  </w:t>
            </w:r>
          </w:p>
        </w:tc>
        <w:tc>
          <w:tcPr>
            <w:tcW w:w="957" w:type="dxa"/>
            <w:tcBorders>
              <w:top w:val="single" w:sz="4" w:space="0" w:color="auto"/>
              <w:left w:val="nil"/>
              <w:bottom w:val="single" w:sz="4" w:space="0" w:color="auto"/>
              <w:right w:val="single" w:sz="4" w:space="0" w:color="auto"/>
            </w:tcBorders>
            <w:shd w:val="clear" w:color="000000" w:fill="AA8622"/>
            <w:noWrap/>
            <w:vAlign w:val="bottom"/>
            <w:hideMark/>
          </w:tcPr>
          <w:p w14:paraId="36842617" w14:textId="77777777" w:rsidR="00CE2445" w:rsidRPr="00CE2445" w:rsidRDefault="00CE2445" w:rsidP="00435411">
            <w:pPr>
              <w:jc w:val="center"/>
              <w:rPr>
                <w:b/>
                <w:bCs/>
                <w:color w:val="740000"/>
                <w:sz w:val="20"/>
                <w:szCs w:val="20"/>
              </w:rPr>
            </w:pPr>
            <w:r w:rsidRPr="00CE2445">
              <w:rPr>
                <w:b/>
                <w:bCs/>
                <w:color w:val="740000"/>
                <w:sz w:val="20"/>
                <w:szCs w:val="20"/>
              </w:rPr>
              <w:t>2024</w:t>
            </w:r>
          </w:p>
        </w:tc>
        <w:tc>
          <w:tcPr>
            <w:tcW w:w="1117" w:type="dxa"/>
            <w:tcBorders>
              <w:top w:val="single" w:sz="4" w:space="0" w:color="auto"/>
              <w:left w:val="nil"/>
              <w:bottom w:val="single" w:sz="4" w:space="0" w:color="auto"/>
              <w:right w:val="nil"/>
            </w:tcBorders>
            <w:shd w:val="clear" w:color="000000" w:fill="AA8622"/>
            <w:noWrap/>
            <w:vAlign w:val="bottom"/>
            <w:hideMark/>
          </w:tcPr>
          <w:p w14:paraId="06B617CD" w14:textId="77777777" w:rsidR="00CE2445" w:rsidRPr="00CE2445" w:rsidRDefault="00CE2445" w:rsidP="00435411">
            <w:pPr>
              <w:jc w:val="center"/>
              <w:rPr>
                <w:b/>
                <w:bCs/>
                <w:color w:val="740000"/>
                <w:sz w:val="20"/>
                <w:szCs w:val="20"/>
              </w:rPr>
            </w:pPr>
            <w:r w:rsidRPr="00CE2445">
              <w:rPr>
                <w:b/>
                <w:bCs/>
                <w:color w:val="740000"/>
                <w:sz w:val="20"/>
                <w:szCs w:val="20"/>
              </w:rPr>
              <w:t>2025</w:t>
            </w:r>
          </w:p>
        </w:tc>
      </w:tr>
      <w:tr w:rsidR="00CE2445" w:rsidRPr="00CE2445" w14:paraId="4262904A"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48A6CBA1" w14:textId="77777777" w:rsidR="00CE2445" w:rsidRPr="00CE2445" w:rsidRDefault="00CE2445" w:rsidP="00435411">
            <w:pPr>
              <w:rPr>
                <w:color w:val="000000"/>
                <w:sz w:val="20"/>
                <w:szCs w:val="20"/>
              </w:rPr>
            </w:pPr>
            <w:r w:rsidRPr="00CE2445">
              <w:rPr>
                <w:color w:val="000000"/>
                <w:sz w:val="20"/>
                <w:szCs w:val="20"/>
              </w:rPr>
              <w:t xml:space="preserve">Producto Interno Bruto </w:t>
            </w:r>
          </w:p>
        </w:tc>
        <w:tc>
          <w:tcPr>
            <w:tcW w:w="957" w:type="dxa"/>
            <w:tcBorders>
              <w:top w:val="nil"/>
              <w:left w:val="nil"/>
              <w:bottom w:val="nil"/>
              <w:right w:val="nil"/>
            </w:tcBorders>
            <w:shd w:val="clear" w:color="auto" w:fill="auto"/>
            <w:noWrap/>
            <w:vAlign w:val="bottom"/>
            <w:hideMark/>
          </w:tcPr>
          <w:p w14:paraId="41DEC817" w14:textId="77777777" w:rsidR="00CE2445" w:rsidRPr="00CE2445" w:rsidRDefault="00CE2445" w:rsidP="00435411">
            <w:pPr>
              <w:rPr>
                <w:color w:val="000000"/>
                <w:sz w:val="20"/>
                <w:szCs w:val="20"/>
              </w:rPr>
            </w:pPr>
          </w:p>
        </w:tc>
        <w:tc>
          <w:tcPr>
            <w:tcW w:w="1117" w:type="dxa"/>
            <w:tcBorders>
              <w:top w:val="nil"/>
              <w:left w:val="nil"/>
              <w:bottom w:val="nil"/>
              <w:right w:val="nil"/>
            </w:tcBorders>
            <w:shd w:val="clear" w:color="auto" w:fill="auto"/>
            <w:noWrap/>
            <w:vAlign w:val="bottom"/>
            <w:hideMark/>
          </w:tcPr>
          <w:p w14:paraId="1AAEE3B6" w14:textId="77777777" w:rsidR="00CE2445" w:rsidRPr="00CE2445" w:rsidRDefault="00CE2445" w:rsidP="00435411">
            <w:pPr>
              <w:rPr>
                <w:sz w:val="20"/>
                <w:szCs w:val="20"/>
              </w:rPr>
            </w:pPr>
          </w:p>
        </w:tc>
      </w:tr>
      <w:tr w:rsidR="00CE2445" w:rsidRPr="00CE2445" w14:paraId="00C33FE2"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5A46322F" w14:textId="77777777" w:rsidR="00CE2445" w:rsidRPr="00CE2445" w:rsidRDefault="00CE2445" w:rsidP="00435411">
            <w:pPr>
              <w:rPr>
                <w:color w:val="000000"/>
                <w:sz w:val="20"/>
                <w:szCs w:val="20"/>
              </w:rPr>
            </w:pPr>
            <w:r w:rsidRPr="00CE2445">
              <w:rPr>
                <w:color w:val="000000"/>
                <w:sz w:val="20"/>
                <w:szCs w:val="20"/>
              </w:rPr>
              <w:t xml:space="preserve">     Crecimiento % real (rango) </w:t>
            </w:r>
          </w:p>
        </w:tc>
        <w:tc>
          <w:tcPr>
            <w:tcW w:w="957" w:type="dxa"/>
            <w:tcBorders>
              <w:top w:val="nil"/>
              <w:left w:val="nil"/>
              <w:bottom w:val="nil"/>
              <w:right w:val="nil"/>
            </w:tcBorders>
            <w:shd w:val="clear" w:color="000000" w:fill="F2F2F2"/>
            <w:noWrap/>
            <w:vAlign w:val="bottom"/>
            <w:hideMark/>
          </w:tcPr>
          <w:p w14:paraId="520023F8" w14:textId="77777777" w:rsidR="00CE2445" w:rsidRPr="00CE2445" w:rsidRDefault="00CE2445" w:rsidP="00435411">
            <w:pPr>
              <w:jc w:val="right"/>
              <w:rPr>
                <w:color w:val="000000"/>
                <w:sz w:val="20"/>
                <w:szCs w:val="20"/>
              </w:rPr>
            </w:pPr>
            <w:r w:rsidRPr="00CE2445">
              <w:rPr>
                <w:color w:val="000000"/>
                <w:sz w:val="20"/>
                <w:szCs w:val="20"/>
              </w:rPr>
              <w:t xml:space="preserve">[2.5, 3.5] </w:t>
            </w:r>
          </w:p>
        </w:tc>
        <w:tc>
          <w:tcPr>
            <w:tcW w:w="1117" w:type="dxa"/>
            <w:tcBorders>
              <w:top w:val="nil"/>
              <w:left w:val="nil"/>
              <w:bottom w:val="nil"/>
              <w:right w:val="nil"/>
            </w:tcBorders>
            <w:shd w:val="clear" w:color="000000" w:fill="F2F2F2"/>
            <w:noWrap/>
            <w:vAlign w:val="bottom"/>
            <w:hideMark/>
          </w:tcPr>
          <w:p w14:paraId="6A70B456" w14:textId="77777777" w:rsidR="00CE2445" w:rsidRPr="00CE2445" w:rsidRDefault="00CE2445" w:rsidP="00435411">
            <w:pPr>
              <w:jc w:val="right"/>
              <w:rPr>
                <w:color w:val="000000"/>
                <w:sz w:val="20"/>
                <w:szCs w:val="20"/>
              </w:rPr>
            </w:pPr>
            <w:r w:rsidRPr="00CE2445">
              <w:rPr>
                <w:color w:val="000000"/>
                <w:sz w:val="20"/>
                <w:szCs w:val="20"/>
              </w:rPr>
              <w:t xml:space="preserve">     [2.0, 3.0] </w:t>
            </w:r>
          </w:p>
        </w:tc>
      </w:tr>
      <w:tr w:rsidR="00CE2445" w:rsidRPr="00CE2445" w14:paraId="0D0354B7"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5D765F25" w14:textId="77777777" w:rsidR="00CE2445" w:rsidRPr="00CE2445" w:rsidRDefault="00CE2445" w:rsidP="00435411">
            <w:pPr>
              <w:rPr>
                <w:color w:val="000000"/>
                <w:sz w:val="20"/>
                <w:szCs w:val="20"/>
              </w:rPr>
            </w:pPr>
            <w:r w:rsidRPr="00CE2445">
              <w:rPr>
                <w:color w:val="000000"/>
                <w:sz w:val="20"/>
                <w:szCs w:val="20"/>
              </w:rPr>
              <w:t xml:space="preserve">     Nominal (miles de millones de pesos) </w:t>
            </w:r>
          </w:p>
        </w:tc>
        <w:tc>
          <w:tcPr>
            <w:tcW w:w="957" w:type="dxa"/>
            <w:tcBorders>
              <w:top w:val="nil"/>
              <w:left w:val="nil"/>
              <w:bottom w:val="nil"/>
              <w:right w:val="nil"/>
            </w:tcBorders>
            <w:shd w:val="clear" w:color="auto" w:fill="auto"/>
            <w:noWrap/>
            <w:vAlign w:val="bottom"/>
            <w:hideMark/>
          </w:tcPr>
          <w:p w14:paraId="212D086E" w14:textId="77777777" w:rsidR="00CE2445" w:rsidRPr="00CE2445" w:rsidRDefault="00CE2445" w:rsidP="00435411">
            <w:pPr>
              <w:jc w:val="right"/>
              <w:rPr>
                <w:color w:val="000000"/>
                <w:sz w:val="20"/>
                <w:szCs w:val="20"/>
              </w:rPr>
            </w:pPr>
            <w:r w:rsidRPr="00CE2445">
              <w:rPr>
                <w:color w:val="000000"/>
                <w:sz w:val="20"/>
                <w:szCs w:val="20"/>
              </w:rPr>
              <w:t>33,927.70</w:t>
            </w:r>
          </w:p>
        </w:tc>
        <w:tc>
          <w:tcPr>
            <w:tcW w:w="1117" w:type="dxa"/>
            <w:tcBorders>
              <w:top w:val="nil"/>
              <w:left w:val="nil"/>
              <w:bottom w:val="nil"/>
              <w:right w:val="nil"/>
            </w:tcBorders>
            <w:shd w:val="clear" w:color="auto" w:fill="auto"/>
            <w:noWrap/>
            <w:vAlign w:val="bottom"/>
            <w:hideMark/>
          </w:tcPr>
          <w:p w14:paraId="57A917CF" w14:textId="77777777" w:rsidR="00CE2445" w:rsidRPr="00CE2445" w:rsidRDefault="00CE2445" w:rsidP="00435411">
            <w:pPr>
              <w:jc w:val="right"/>
              <w:rPr>
                <w:color w:val="000000"/>
                <w:sz w:val="20"/>
                <w:szCs w:val="20"/>
              </w:rPr>
            </w:pPr>
            <w:r w:rsidRPr="00CE2445">
              <w:rPr>
                <w:color w:val="000000"/>
                <w:sz w:val="20"/>
                <w:szCs w:val="20"/>
              </w:rPr>
              <w:t>36,132.40</w:t>
            </w:r>
          </w:p>
        </w:tc>
      </w:tr>
      <w:tr w:rsidR="00CE2445" w:rsidRPr="00CE2445" w14:paraId="7A3C3639"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53D5B544" w14:textId="77777777" w:rsidR="00CE2445" w:rsidRPr="00CE2445" w:rsidRDefault="00CE2445" w:rsidP="00435411">
            <w:pPr>
              <w:rPr>
                <w:color w:val="000000"/>
                <w:sz w:val="20"/>
                <w:szCs w:val="20"/>
              </w:rPr>
            </w:pPr>
            <w:r w:rsidRPr="00CE2445">
              <w:rPr>
                <w:color w:val="000000"/>
                <w:sz w:val="20"/>
                <w:szCs w:val="20"/>
              </w:rPr>
              <w:t xml:space="preserve">     Deflactor del PIB (variación anual, % promedio) </w:t>
            </w:r>
          </w:p>
        </w:tc>
        <w:tc>
          <w:tcPr>
            <w:tcW w:w="957" w:type="dxa"/>
            <w:tcBorders>
              <w:top w:val="nil"/>
              <w:left w:val="nil"/>
              <w:bottom w:val="nil"/>
              <w:right w:val="nil"/>
            </w:tcBorders>
            <w:shd w:val="clear" w:color="000000" w:fill="F2F2F2"/>
            <w:noWrap/>
            <w:vAlign w:val="bottom"/>
            <w:hideMark/>
          </w:tcPr>
          <w:p w14:paraId="4897C1CD" w14:textId="77777777" w:rsidR="00CE2445" w:rsidRPr="00CE2445" w:rsidRDefault="00CE2445" w:rsidP="00435411">
            <w:pPr>
              <w:jc w:val="right"/>
              <w:rPr>
                <w:color w:val="000000"/>
                <w:sz w:val="20"/>
                <w:szCs w:val="20"/>
              </w:rPr>
            </w:pPr>
            <w:r w:rsidRPr="00CE2445">
              <w:rPr>
                <w:color w:val="000000"/>
                <w:sz w:val="20"/>
                <w:szCs w:val="20"/>
              </w:rPr>
              <w:t>4.1</w:t>
            </w:r>
          </w:p>
        </w:tc>
        <w:tc>
          <w:tcPr>
            <w:tcW w:w="1117" w:type="dxa"/>
            <w:tcBorders>
              <w:top w:val="nil"/>
              <w:left w:val="nil"/>
              <w:bottom w:val="nil"/>
              <w:right w:val="nil"/>
            </w:tcBorders>
            <w:shd w:val="clear" w:color="000000" w:fill="F2F2F2"/>
            <w:noWrap/>
            <w:vAlign w:val="bottom"/>
            <w:hideMark/>
          </w:tcPr>
          <w:p w14:paraId="00F2B5FC" w14:textId="77777777" w:rsidR="00CE2445" w:rsidRPr="00CE2445" w:rsidRDefault="00CE2445" w:rsidP="00435411">
            <w:pPr>
              <w:jc w:val="right"/>
              <w:rPr>
                <w:color w:val="000000"/>
                <w:sz w:val="20"/>
                <w:szCs w:val="20"/>
              </w:rPr>
            </w:pPr>
            <w:r w:rsidRPr="00CE2445">
              <w:rPr>
                <w:color w:val="000000"/>
                <w:sz w:val="20"/>
                <w:szCs w:val="20"/>
              </w:rPr>
              <w:t>3.9</w:t>
            </w:r>
          </w:p>
        </w:tc>
      </w:tr>
      <w:tr w:rsidR="00CE2445" w:rsidRPr="00CE2445" w14:paraId="7112D7C5"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72F912F4" w14:textId="77777777" w:rsidR="00CE2445" w:rsidRPr="00CE2445" w:rsidRDefault="00CE2445" w:rsidP="00435411">
            <w:pPr>
              <w:rPr>
                <w:color w:val="000000"/>
                <w:sz w:val="20"/>
                <w:szCs w:val="20"/>
              </w:rPr>
            </w:pPr>
            <w:r w:rsidRPr="00CE2445">
              <w:rPr>
                <w:color w:val="000000"/>
                <w:sz w:val="20"/>
                <w:szCs w:val="20"/>
              </w:rPr>
              <w:t xml:space="preserve">Inflación (%) </w:t>
            </w:r>
          </w:p>
        </w:tc>
        <w:tc>
          <w:tcPr>
            <w:tcW w:w="957" w:type="dxa"/>
            <w:tcBorders>
              <w:top w:val="nil"/>
              <w:left w:val="nil"/>
              <w:bottom w:val="nil"/>
              <w:right w:val="nil"/>
            </w:tcBorders>
            <w:shd w:val="clear" w:color="auto" w:fill="auto"/>
            <w:noWrap/>
            <w:vAlign w:val="bottom"/>
            <w:hideMark/>
          </w:tcPr>
          <w:p w14:paraId="585915BF" w14:textId="77777777" w:rsidR="00CE2445" w:rsidRPr="00CE2445" w:rsidRDefault="00CE2445" w:rsidP="00435411">
            <w:pPr>
              <w:rPr>
                <w:color w:val="000000"/>
                <w:sz w:val="20"/>
                <w:szCs w:val="20"/>
              </w:rPr>
            </w:pPr>
          </w:p>
        </w:tc>
        <w:tc>
          <w:tcPr>
            <w:tcW w:w="1117" w:type="dxa"/>
            <w:tcBorders>
              <w:top w:val="nil"/>
              <w:left w:val="nil"/>
              <w:bottom w:val="nil"/>
              <w:right w:val="nil"/>
            </w:tcBorders>
            <w:shd w:val="clear" w:color="auto" w:fill="auto"/>
            <w:noWrap/>
            <w:vAlign w:val="bottom"/>
            <w:hideMark/>
          </w:tcPr>
          <w:p w14:paraId="6CA42B02" w14:textId="77777777" w:rsidR="00CE2445" w:rsidRPr="00CE2445" w:rsidRDefault="00CE2445" w:rsidP="00435411">
            <w:pPr>
              <w:rPr>
                <w:sz w:val="20"/>
                <w:szCs w:val="20"/>
              </w:rPr>
            </w:pPr>
          </w:p>
        </w:tc>
      </w:tr>
      <w:tr w:rsidR="00CE2445" w:rsidRPr="00CE2445" w14:paraId="505349E9"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7AEC9E11" w14:textId="77777777" w:rsidR="00CE2445" w:rsidRPr="00CE2445" w:rsidRDefault="00CE2445" w:rsidP="00435411">
            <w:pPr>
              <w:rPr>
                <w:color w:val="000000"/>
                <w:sz w:val="20"/>
                <w:szCs w:val="20"/>
              </w:rPr>
            </w:pPr>
            <w:r w:rsidRPr="00CE2445">
              <w:rPr>
                <w:color w:val="000000"/>
                <w:sz w:val="20"/>
                <w:szCs w:val="20"/>
              </w:rPr>
              <w:t xml:space="preserve">     Dic. / dic.  </w:t>
            </w:r>
          </w:p>
        </w:tc>
        <w:tc>
          <w:tcPr>
            <w:tcW w:w="957" w:type="dxa"/>
            <w:tcBorders>
              <w:top w:val="nil"/>
              <w:left w:val="nil"/>
              <w:bottom w:val="nil"/>
              <w:right w:val="nil"/>
            </w:tcBorders>
            <w:shd w:val="clear" w:color="000000" w:fill="F2F2F2"/>
            <w:noWrap/>
            <w:vAlign w:val="bottom"/>
            <w:hideMark/>
          </w:tcPr>
          <w:p w14:paraId="6278FBF8" w14:textId="77777777" w:rsidR="00CE2445" w:rsidRPr="00CE2445" w:rsidRDefault="00CE2445" w:rsidP="00435411">
            <w:pPr>
              <w:jc w:val="right"/>
              <w:rPr>
                <w:color w:val="000000"/>
                <w:sz w:val="20"/>
                <w:szCs w:val="20"/>
              </w:rPr>
            </w:pPr>
            <w:r w:rsidRPr="00CE2445">
              <w:rPr>
                <w:color w:val="000000"/>
                <w:sz w:val="20"/>
                <w:szCs w:val="20"/>
              </w:rPr>
              <w:t>3.8</w:t>
            </w:r>
          </w:p>
        </w:tc>
        <w:tc>
          <w:tcPr>
            <w:tcW w:w="1117" w:type="dxa"/>
            <w:tcBorders>
              <w:top w:val="nil"/>
              <w:left w:val="nil"/>
              <w:bottom w:val="nil"/>
              <w:right w:val="nil"/>
            </w:tcBorders>
            <w:shd w:val="clear" w:color="000000" w:fill="F2F2F2"/>
            <w:noWrap/>
            <w:vAlign w:val="bottom"/>
            <w:hideMark/>
          </w:tcPr>
          <w:p w14:paraId="5667346E" w14:textId="77777777" w:rsidR="00CE2445" w:rsidRPr="00CE2445" w:rsidRDefault="00CE2445" w:rsidP="00435411">
            <w:pPr>
              <w:jc w:val="right"/>
              <w:rPr>
                <w:color w:val="000000"/>
                <w:sz w:val="20"/>
                <w:szCs w:val="20"/>
              </w:rPr>
            </w:pPr>
            <w:r w:rsidRPr="00CE2445">
              <w:rPr>
                <w:color w:val="000000"/>
                <w:sz w:val="20"/>
                <w:szCs w:val="20"/>
              </w:rPr>
              <w:t>3.3</w:t>
            </w:r>
          </w:p>
        </w:tc>
      </w:tr>
      <w:tr w:rsidR="00CE2445" w:rsidRPr="00CE2445" w14:paraId="19BCDA66"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26474357" w14:textId="77777777" w:rsidR="00CE2445" w:rsidRPr="00CE2445" w:rsidRDefault="00CE2445" w:rsidP="00435411">
            <w:pPr>
              <w:rPr>
                <w:color w:val="000000"/>
                <w:sz w:val="20"/>
                <w:szCs w:val="20"/>
              </w:rPr>
            </w:pPr>
            <w:r w:rsidRPr="00CE2445">
              <w:rPr>
                <w:color w:val="000000"/>
                <w:sz w:val="20"/>
                <w:szCs w:val="20"/>
              </w:rPr>
              <w:t xml:space="preserve">Tipo de cambio nominal (pesos por dólar) </w:t>
            </w:r>
          </w:p>
        </w:tc>
        <w:tc>
          <w:tcPr>
            <w:tcW w:w="957" w:type="dxa"/>
            <w:tcBorders>
              <w:top w:val="nil"/>
              <w:left w:val="nil"/>
              <w:bottom w:val="nil"/>
              <w:right w:val="nil"/>
            </w:tcBorders>
            <w:shd w:val="clear" w:color="auto" w:fill="auto"/>
            <w:noWrap/>
            <w:vAlign w:val="bottom"/>
            <w:hideMark/>
          </w:tcPr>
          <w:p w14:paraId="16EF3654" w14:textId="77777777" w:rsidR="00CE2445" w:rsidRPr="00CE2445" w:rsidRDefault="00CE2445" w:rsidP="00435411">
            <w:pPr>
              <w:rPr>
                <w:color w:val="000000"/>
                <w:sz w:val="20"/>
                <w:szCs w:val="20"/>
              </w:rPr>
            </w:pPr>
          </w:p>
        </w:tc>
        <w:tc>
          <w:tcPr>
            <w:tcW w:w="1117" w:type="dxa"/>
            <w:tcBorders>
              <w:top w:val="nil"/>
              <w:left w:val="nil"/>
              <w:bottom w:val="nil"/>
              <w:right w:val="nil"/>
            </w:tcBorders>
            <w:shd w:val="clear" w:color="auto" w:fill="auto"/>
            <w:noWrap/>
            <w:vAlign w:val="bottom"/>
            <w:hideMark/>
          </w:tcPr>
          <w:p w14:paraId="7203E032" w14:textId="77777777" w:rsidR="00CE2445" w:rsidRPr="00CE2445" w:rsidRDefault="00CE2445" w:rsidP="00435411">
            <w:pPr>
              <w:rPr>
                <w:sz w:val="20"/>
                <w:szCs w:val="20"/>
              </w:rPr>
            </w:pPr>
          </w:p>
        </w:tc>
      </w:tr>
      <w:tr w:rsidR="00CE2445" w:rsidRPr="00CE2445" w14:paraId="130F7508"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7D1334D2" w14:textId="77777777" w:rsidR="00CE2445" w:rsidRPr="00CE2445" w:rsidRDefault="00CE2445" w:rsidP="00435411">
            <w:pPr>
              <w:rPr>
                <w:color w:val="000000"/>
                <w:sz w:val="20"/>
                <w:szCs w:val="20"/>
              </w:rPr>
            </w:pPr>
            <w:r w:rsidRPr="00CE2445">
              <w:rPr>
                <w:color w:val="000000"/>
                <w:sz w:val="20"/>
                <w:szCs w:val="20"/>
              </w:rPr>
              <w:t xml:space="preserve">     Fin de periodo </w:t>
            </w:r>
          </w:p>
        </w:tc>
        <w:tc>
          <w:tcPr>
            <w:tcW w:w="957" w:type="dxa"/>
            <w:tcBorders>
              <w:top w:val="nil"/>
              <w:left w:val="nil"/>
              <w:bottom w:val="nil"/>
              <w:right w:val="nil"/>
            </w:tcBorders>
            <w:shd w:val="clear" w:color="000000" w:fill="F2F2F2"/>
            <w:noWrap/>
            <w:vAlign w:val="bottom"/>
            <w:hideMark/>
          </w:tcPr>
          <w:p w14:paraId="64DE5E36" w14:textId="77777777" w:rsidR="00CE2445" w:rsidRPr="00CE2445" w:rsidRDefault="00CE2445" w:rsidP="00435411">
            <w:pPr>
              <w:jc w:val="right"/>
              <w:rPr>
                <w:color w:val="000000"/>
                <w:sz w:val="20"/>
                <w:szCs w:val="20"/>
              </w:rPr>
            </w:pPr>
            <w:r w:rsidRPr="00CE2445">
              <w:rPr>
                <w:color w:val="000000"/>
                <w:sz w:val="20"/>
                <w:szCs w:val="20"/>
              </w:rPr>
              <w:t>17.8</w:t>
            </w:r>
          </w:p>
        </w:tc>
        <w:tc>
          <w:tcPr>
            <w:tcW w:w="1117" w:type="dxa"/>
            <w:tcBorders>
              <w:top w:val="nil"/>
              <w:left w:val="nil"/>
              <w:bottom w:val="nil"/>
              <w:right w:val="nil"/>
            </w:tcBorders>
            <w:shd w:val="clear" w:color="000000" w:fill="F2F2F2"/>
            <w:noWrap/>
            <w:vAlign w:val="bottom"/>
            <w:hideMark/>
          </w:tcPr>
          <w:p w14:paraId="41D13C9F" w14:textId="77777777" w:rsidR="00CE2445" w:rsidRPr="00CE2445" w:rsidRDefault="00CE2445" w:rsidP="00435411">
            <w:pPr>
              <w:jc w:val="right"/>
              <w:rPr>
                <w:color w:val="000000"/>
                <w:sz w:val="20"/>
                <w:szCs w:val="20"/>
              </w:rPr>
            </w:pPr>
            <w:r w:rsidRPr="00CE2445">
              <w:rPr>
                <w:color w:val="000000"/>
                <w:sz w:val="20"/>
                <w:szCs w:val="20"/>
              </w:rPr>
              <w:t>18</w:t>
            </w:r>
          </w:p>
        </w:tc>
      </w:tr>
      <w:tr w:rsidR="00CE2445" w:rsidRPr="00CE2445" w14:paraId="45D039EA"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53098281" w14:textId="77777777" w:rsidR="00CE2445" w:rsidRPr="00CE2445" w:rsidRDefault="00CE2445" w:rsidP="00435411">
            <w:pPr>
              <w:rPr>
                <w:color w:val="000000"/>
                <w:sz w:val="20"/>
                <w:szCs w:val="20"/>
              </w:rPr>
            </w:pPr>
            <w:r w:rsidRPr="00CE2445">
              <w:rPr>
                <w:color w:val="000000"/>
                <w:sz w:val="20"/>
                <w:szCs w:val="20"/>
              </w:rPr>
              <w:t xml:space="preserve">     Promedio  </w:t>
            </w:r>
          </w:p>
        </w:tc>
        <w:tc>
          <w:tcPr>
            <w:tcW w:w="957" w:type="dxa"/>
            <w:tcBorders>
              <w:top w:val="nil"/>
              <w:left w:val="nil"/>
              <w:bottom w:val="nil"/>
              <w:right w:val="nil"/>
            </w:tcBorders>
            <w:shd w:val="clear" w:color="auto" w:fill="auto"/>
            <w:noWrap/>
            <w:vAlign w:val="bottom"/>
            <w:hideMark/>
          </w:tcPr>
          <w:p w14:paraId="2EE07D75" w14:textId="77777777" w:rsidR="00CE2445" w:rsidRPr="00CE2445" w:rsidRDefault="00CE2445" w:rsidP="00435411">
            <w:pPr>
              <w:jc w:val="right"/>
              <w:rPr>
                <w:color w:val="000000"/>
                <w:sz w:val="20"/>
                <w:szCs w:val="20"/>
              </w:rPr>
            </w:pPr>
            <w:r w:rsidRPr="00CE2445">
              <w:rPr>
                <w:color w:val="000000"/>
                <w:sz w:val="20"/>
                <w:szCs w:val="20"/>
              </w:rPr>
              <w:t>17.6</w:t>
            </w:r>
          </w:p>
        </w:tc>
        <w:tc>
          <w:tcPr>
            <w:tcW w:w="1117" w:type="dxa"/>
            <w:tcBorders>
              <w:top w:val="nil"/>
              <w:left w:val="nil"/>
              <w:bottom w:val="nil"/>
              <w:right w:val="nil"/>
            </w:tcBorders>
            <w:shd w:val="clear" w:color="auto" w:fill="auto"/>
            <w:noWrap/>
            <w:vAlign w:val="bottom"/>
            <w:hideMark/>
          </w:tcPr>
          <w:p w14:paraId="7539CF3C" w14:textId="77777777" w:rsidR="00CE2445" w:rsidRPr="00CE2445" w:rsidRDefault="00CE2445" w:rsidP="00435411">
            <w:pPr>
              <w:jc w:val="right"/>
              <w:rPr>
                <w:color w:val="000000"/>
                <w:sz w:val="20"/>
                <w:szCs w:val="20"/>
              </w:rPr>
            </w:pPr>
            <w:r w:rsidRPr="00CE2445">
              <w:rPr>
                <w:color w:val="000000"/>
                <w:sz w:val="20"/>
                <w:szCs w:val="20"/>
              </w:rPr>
              <w:t>17.9</w:t>
            </w:r>
          </w:p>
        </w:tc>
      </w:tr>
      <w:tr w:rsidR="00CE2445" w:rsidRPr="00CE2445" w14:paraId="1E600D04"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604AAF6E" w14:textId="77777777" w:rsidR="00CE2445" w:rsidRPr="00CE2445" w:rsidRDefault="00CE2445" w:rsidP="00435411">
            <w:pPr>
              <w:rPr>
                <w:color w:val="000000"/>
                <w:sz w:val="20"/>
                <w:szCs w:val="20"/>
              </w:rPr>
            </w:pPr>
            <w:r w:rsidRPr="00CE2445">
              <w:rPr>
                <w:color w:val="000000"/>
                <w:sz w:val="20"/>
                <w:szCs w:val="20"/>
              </w:rPr>
              <w:t xml:space="preserve">Tasa de interés (Cetes 28 días, %) </w:t>
            </w:r>
          </w:p>
        </w:tc>
        <w:tc>
          <w:tcPr>
            <w:tcW w:w="957" w:type="dxa"/>
            <w:tcBorders>
              <w:top w:val="nil"/>
              <w:left w:val="nil"/>
              <w:bottom w:val="nil"/>
              <w:right w:val="nil"/>
            </w:tcBorders>
            <w:shd w:val="clear" w:color="000000" w:fill="F2F2F2"/>
            <w:noWrap/>
            <w:vAlign w:val="bottom"/>
            <w:hideMark/>
          </w:tcPr>
          <w:p w14:paraId="2C38FE9B" w14:textId="77777777" w:rsidR="00CE2445" w:rsidRPr="00CE2445" w:rsidRDefault="00CE2445" w:rsidP="00435411">
            <w:pPr>
              <w:rPr>
                <w:color w:val="000000"/>
                <w:sz w:val="20"/>
                <w:szCs w:val="20"/>
              </w:rPr>
            </w:pPr>
            <w:r w:rsidRPr="00CE2445">
              <w:rPr>
                <w:color w:val="000000"/>
                <w:sz w:val="20"/>
                <w:szCs w:val="20"/>
              </w:rPr>
              <w:t> </w:t>
            </w:r>
          </w:p>
        </w:tc>
        <w:tc>
          <w:tcPr>
            <w:tcW w:w="1117" w:type="dxa"/>
            <w:tcBorders>
              <w:top w:val="nil"/>
              <w:left w:val="nil"/>
              <w:bottom w:val="nil"/>
              <w:right w:val="nil"/>
            </w:tcBorders>
            <w:shd w:val="clear" w:color="000000" w:fill="F2F2F2"/>
            <w:noWrap/>
            <w:vAlign w:val="bottom"/>
            <w:hideMark/>
          </w:tcPr>
          <w:p w14:paraId="218C4C83" w14:textId="77777777" w:rsidR="00CE2445" w:rsidRPr="00CE2445" w:rsidRDefault="00CE2445" w:rsidP="00435411">
            <w:pPr>
              <w:rPr>
                <w:color w:val="000000"/>
                <w:sz w:val="20"/>
                <w:szCs w:val="20"/>
              </w:rPr>
            </w:pPr>
            <w:r w:rsidRPr="00CE2445">
              <w:rPr>
                <w:color w:val="000000"/>
                <w:sz w:val="20"/>
                <w:szCs w:val="20"/>
              </w:rPr>
              <w:t> </w:t>
            </w:r>
          </w:p>
        </w:tc>
      </w:tr>
      <w:tr w:rsidR="00CE2445" w:rsidRPr="00CE2445" w14:paraId="719FC136"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65E01A9B" w14:textId="77777777" w:rsidR="00CE2445" w:rsidRPr="00CE2445" w:rsidRDefault="00CE2445" w:rsidP="00435411">
            <w:pPr>
              <w:rPr>
                <w:color w:val="000000"/>
                <w:sz w:val="20"/>
                <w:szCs w:val="20"/>
              </w:rPr>
            </w:pPr>
            <w:r w:rsidRPr="00CE2445">
              <w:rPr>
                <w:color w:val="000000"/>
                <w:sz w:val="20"/>
                <w:szCs w:val="20"/>
              </w:rPr>
              <w:lastRenderedPageBreak/>
              <w:t xml:space="preserve">     Nominal fin de periodo  </w:t>
            </w:r>
          </w:p>
        </w:tc>
        <w:tc>
          <w:tcPr>
            <w:tcW w:w="957" w:type="dxa"/>
            <w:tcBorders>
              <w:top w:val="nil"/>
              <w:left w:val="nil"/>
              <w:bottom w:val="nil"/>
              <w:right w:val="nil"/>
            </w:tcBorders>
            <w:shd w:val="clear" w:color="auto" w:fill="auto"/>
            <w:noWrap/>
            <w:vAlign w:val="bottom"/>
            <w:hideMark/>
          </w:tcPr>
          <w:p w14:paraId="6169A970" w14:textId="77777777" w:rsidR="00CE2445" w:rsidRPr="00CE2445" w:rsidRDefault="00CE2445" w:rsidP="00435411">
            <w:pPr>
              <w:jc w:val="right"/>
              <w:rPr>
                <w:color w:val="000000"/>
                <w:sz w:val="20"/>
                <w:szCs w:val="20"/>
              </w:rPr>
            </w:pPr>
            <w:r w:rsidRPr="00CE2445">
              <w:rPr>
                <w:color w:val="000000"/>
                <w:sz w:val="20"/>
                <w:szCs w:val="20"/>
              </w:rPr>
              <w:t>9.5</w:t>
            </w:r>
          </w:p>
        </w:tc>
        <w:tc>
          <w:tcPr>
            <w:tcW w:w="1117" w:type="dxa"/>
            <w:tcBorders>
              <w:top w:val="nil"/>
              <w:left w:val="nil"/>
              <w:bottom w:val="nil"/>
              <w:right w:val="nil"/>
            </w:tcBorders>
            <w:shd w:val="clear" w:color="auto" w:fill="auto"/>
            <w:noWrap/>
            <w:vAlign w:val="bottom"/>
            <w:hideMark/>
          </w:tcPr>
          <w:p w14:paraId="2D961491" w14:textId="77777777" w:rsidR="00CE2445" w:rsidRPr="00CE2445" w:rsidRDefault="00CE2445" w:rsidP="00435411">
            <w:pPr>
              <w:jc w:val="right"/>
              <w:rPr>
                <w:color w:val="000000"/>
                <w:sz w:val="20"/>
                <w:szCs w:val="20"/>
              </w:rPr>
            </w:pPr>
            <w:r w:rsidRPr="00CE2445">
              <w:rPr>
                <w:color w:val="000000"/>
                <w:sz w:val="20"/>
                <w:szCs w:val="20"/>
              </w:rPr>
              <w:t>7</w:t>
            </w:r>
          </w:p>
        </w:tc>
      </w:tr>
      <w:tr w:rsidR="00CE2445" w:rsidRPr="00CE2445" w14:paraId="4751F499"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18C419D9" w14:textId="77777777" w:rsidR="00CE2445" w:rsidRPr="00CE2445" w:rsidRDefault="00CE2445" w:rsidP="00435411">
            <w:pPr>
              <w:rPr>
                <w:color w:val="000000"/>
                <w:sz w:val="20"/>
                <w:szCs w:val="20"/>
              </w:rPr>
            </w:pPr>
            <w:r w:rsidRPr="00CE2445">
              <w:rPr>
                <w:color w:val="000000"/>
                <w:sz w:val="20"/>
                <w:szCs w:val="20"/>
              </w:rPr>
              <w:t xml:space="preserve">     Nominal promedio  </w:t>
            </w:r>
          </w:p>
        </w:tc>
        <w:tc>
          <w:tcPr>
            <w:tcW w:w="957" w:type="dxa"/>
            <w:tcBorders>
              <w:top w:val="nil"/>
              <w:left w:val="nil"/>
              <w:bottom w:val="nil"/>
              <w:right w:val="nil"/>
            </w:tcBorders>
            <w:shd w:val="clear" w:color="000000" w:fill="F2F2F2"/>
            <w:noWrap/>
            <w:vAlign w:val="bottom"/>
            <w:hideMark/>
          </w:tcPr>
          <w:p w14:paraId="36205C98" w14:textId="77777777" w:rsidR="00CE2445" w:rsidRPr="00CE2445" w:rsidRDefault="00CE2445" w:rsidP="00435411">
            <w:pPr>
              <w:jc w:val="right"/>
              <w:rPr>
                <w:color w:val="000000"/>
                <w:sz w:val="20"/>
                <w:szCs w:val="20"/>
              </w:rPr>
            </w:pPr>
            <w:r w:rsidRPr="00CE2445">
              <w:rPr>
                <w:color w:val="000000"/>
                <w:sz w:val="20"/>
                <w:szCs w:val="20"/>
              </w:rPr>
              <w:t>10.3</w:t>
            </w:r>
          </w:p>
        </w:tc>
        <w:tc>
          <w:tcPr>
            <w:tcW w:w="1117" w:type="dxa"/>
            <w:tcBorders>
              <w:top w:val="nil"/>
              <w:left w:val="nil"/>
              <w:bottom w:val="nil"/>
              <w:right w:val="nil"/>
            </w:tcBorders>
            <w:shd w:val="clear" w:color="000000" w:fill="F2F2F2"/>
            <w:noWrap/>
            <w:vAlign w:val="bottom"/>
            <w:hideMark/>
          </w:tcPr>
          <w:p w14:paraId="128D06FE" w14:textId="77777777" w:rsidR="00CE2445" w:rsidRPr="00CE2445" w:rsidRDefault="00CE2445" w:rsidP="00435411">
            <w:pPr>
              <w:jc w:val="right"/>
              <w:rPr>
                <w:color w:val="000000"/>
                <w:sz w:val="20"/>
                <w:szCs w:val="20"/>
              </w:rPr>
            </w:pPr>
            <w:r w:rsidRPr="00CE2445">
              <w:rPr>
                <w:color w:val="000000"/>
                <w:sz w:val="20"/>
                <w:szCs w:val="20"/>
              </w:rPr>
              <w:t>8.1</w:t>
            </w:r>
          </w:p>
        </w:tc>
      </w:tr>
      <w:tr w:rsidR="00CE2445" w:rsidRPr="00CE2445" w14:paraId="665EE478"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2E215F82" w14:textId="77777777" w:rsidR="00CE2445" w:rsidRPr="00CE2445" w:rsidRDefault="00CE2445" w:rsidP="00435411">
            <w:pPr>
              <w:rPr>
                <w:color w:val="000000"/>
                <w:sz w:val="20"/>
                <w:szCs w:val="20"/>
              </w:rPr>
            </w:pPr>
            <w:r w:rsidRPr="00CE2445">
              <w:rPr>
                <w:color w:val="000000"/>
                <w:sz w:val="20"/>
                <w:szCs w:val="20"/>
              </w:rPr>
              <w:t xml:space="preserve">     Real acumulada </w:t>
            </w:r>
          </w:p>
        </w:tc>
        <w:tc>
          <w:tcPr>
            <w:tcW w:w="957" w:type="dxa"/>
            <w:tcBorders>
              <w:top w:val="nil"/>
              <w:left w:val="nil"/>
              <w:bottom w:val="nil"/>
              <w:right w:val="nil"/>
            </w:tcBorders>
            <w:shd w:val="clear" w:color="auto" w:fill="auto"/>
            <w:noWrap/>
            <w:vAlign w:val="bottom"/>
            <w:hideMark/>
          </w:tcPr>
          <w:p w14:paraId="5159D478" w14:textId="77777777" w:rsidR="00CE2445" w:rsidRPr="00CE2445" w:rsidRDefault="00CE2445" w:rsidP="00435411">
            <w:pPr>
              <w:jc w:val="right"/>
              <w:rPr>
                <w:color w:val="000000"/>
                <w:sz w:val="20"/>
                <w:szCs w:val="20"/>
              </w:rPr>
            </w:pPr>
            <w:r w:rsidRPr="00CE2445">
              <w:rPr>
                <w:color w:val="000000"/>
                <w:sz w:val="20"/>
                <w:szCs w:val="20"/>
              </w:rPr>
              <w:t>6.8</w:t>
            </w:r>
          </w:p>
        </w:tc>
        <w:tc>
          <w:tcPr>
            <w:tcW w:w="1117" w:type="dxa"/>
            <w:tcBorders>
              <w:top w:val="nil"/>
              <w:left w:val="nil"/>
              <w:bottom w:val="nil"/>
              <w:right w:val="nil"/>
            </w:tcBorders>
            <w:shd w:val="clear" w:color="auto" w:fill="auto"/>
            <w:noWrap/>
            <w:vAlign w:val="bottom"/>
            <w:hideMark/>
          </w:tcPr>
          <w:p w14:paraId="7E38DC0D" w14:textId="77777777" w:rsidR="00CE2445" w:rsidRPr="00CE2445" w:rsidRDefault="00CE2445" w:rsidP="00435411">
            <w:pPr>
              <w:jc w:val="right"/>
              <w:rPr>
                <w:color w:val="000000"/>
                <w:sz w:val="20"/>
                <w:szCs w:val="20"/>
              </w:rPr>
            </w:pPr>
            <w:r w:rsidRPr="00CE2445">
              <w:rPr>
                <w:color w:val="000000"/>
                <w:sz w:val="20"/>
                <w:szCs w:val="20"/>
              </w:rPr>
              <w:t>4.9</w:t>
            </w:r>
          </w:p>
        </w:tc>
      </w:tr>
      <w:tr w:rsidR="00CE2445" w:rsidRPr="00CE2445" w14:paraId="59643AB1"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616FB246" w14:textId="77777777" w:rsidR="00CE2445" w:rsidRPr="00CE2445" w:rsidRDefault="00CE2445" w:rsidP="00435411">
            <w:pPr>
              <w:rPr>
                <w:color w:val="000000"/>
                <w:sz w:val="20"/>
                <w:szCs w:val="20"/>
              </w:rPr>
            </w:pPr>
            <w:r w:rsidRPr="00CE2445">
              <w:rPr>
                <w:color w:val="000000"/>
                <w:sz w:val="20"/>
                <w:szCs w:val="20"/>
              </w:rPr>
              <w:t xml:space="preserve">Cuenta Corriente </w:t>
            </w:r>
          </w:p>
        </w:tc>
        <w:tc>
          <w:tcPr>
            <w:tcW w:w="957" w:type="dxa"/>
            <w:tcBorders>
              <w:top w:val="nil"/>
              <w:left w:val="nil"/>
              <w:bottom w:val="nil"/>
              <w:right w:val="nil"/>
            </w:tcBorders>
            <w:shd w:val="clear" w:color="000000" w:fill="F2F2F2"/>
            <w:noWrap/>
            <w:vAlign w:val="bottom"/>
            <w:hideMark/>
          </w:tcPr>
          <w:p w14:paraId="151709BD" w14:textId="77777777" w:rsidR="00CE2445" w:rsidRPr="00CE2445" w:rsidRDefault="00CE2445" w:rsidP="00435411">
            <w:pPr>
              <w:rPr>
                <w:color w:val="000000"/>
                <w:sz w:val="20"/>
                <w:szCs w:val="20"/>
              </w:rPr>
            </w:pPr>
            <w:r w:rsidRPr="00CE2445">
              <w:rPr>
                <w:color w:val="000000"/>
                <w:sz w:val="20"/>
                <w:szCs w:val="20"/>
              </w:rPr>
              <w:t> </w:t>
            </w:r>
          </w:p>
        </w:tc>
        <w:tc>
          <w:tcPr>
            <w:tcW w:w="1117" w:type="dxa"/>
            <w:tcBorders>
              <w:top w:val="nil"/>
              <w:left w:val="nil"/>
              <w:bottom w:val="nil"/>
              <w:right w:val="nil"/>
            </w:tcBorders>
            <w:shd w:val="clear" w:color="000000" w:fill="F2F2F2"/>
            <w:noWrap/>
            <w:vAlign w:val="bottom"/>
            <w:hideMark/>
          </w:tcPr>
          <w:p w14:paraId="2FDD5720" w14:textId="77777777" w:rsidR="00CE2445" w:rsidRPr="00CE2445" w:rsidRDefault="00CE2445" w:rsidP="00435411">
            <w:pPr>
              <w:rPr>
                <w:color w:val="000000"/>
                <w:sz w:val="20"/>
                <w:szCs w:val="20"/>
              </w:rPr>
            </w:pPr>
            <w:r w:rsidRPr="00CE2445">
              <w:rPr>
                <w:color w:val="000000"/>
                <w:sz w:val="20"/>
                <w:szCs w:val="20"/>
              </w:rPr>
              <w:t> </w:t>
            </w:r>
          </w:p>
        </w:tc>
      </w:tr>
      <w:tr w:rsidR="00CE2445" w:rsidRPr="00CE2445" w14:paraId="651C0970" w14:textId="77777777" w:rsidTr="00435411">
        <w:trPr>
          <w:trHeight w:val="300"/>
          <w:jc w:val="center"/>
        </w:trPr>
        <w:tc>
          <w:tcPr>
            <w:tcW w:w="4646" w:type="dxa"/>
            <w:tcBorders>
              <w:top w:val="nil"/>
              <w:left w:val="nil"/>
              <w:right w:val="nil"/>
            </w:tcBorders>
            <w:shd w:val="clear" w:color="auto" w:fill="auto"/>
            <w:noWrap/>
            <w:vAlign w:val="bottom"/>
            <w:hideMark/>
          </w:tcPr>
          <w:p w14:paraId="752C90DC" w14:textId="77777777" w:rsidR="00CE2445" w:rsidRPr="00CE2445" w:rsidRDefault="00CE2445" w:rsidP="00435411">
            <w:pPr>
              <w:rPr>
                <w:color w:val="000000"/>
                <w:sz w:val="20"/>
                <w:szCs w:val="20"/>
              </w:rPr>
            </w:pPr>
            <w:r w:rsidRPr="00CE2445">
              <w:rPr>
                <w:color w:val="000000"/>
                <w:sz w:val="20"/>
                <w:szCs w:val="20"/>
              </w:rPr>
              <w:t xml:space="preserve">     Millones de dólares </w:t>
            </w:r>
          </w:p>
        </w:tc>
        <w:tc>
          <w:tcPr>
            <w:tcW w:w="957" w:type="dxa"/>
            <w:tcBorders>
              <w:top w:val="nil"/>
              <w:left w:val="nil"/>
              <w:right w:val="nil"/>
            </w:tcBorders>
            <w:shd w:val="clear" w:color="auto" w:fill="auto"/>
            <w:noWrap/>
            <w:vAlign w:val="bottom"/>
            <w:hideMark/>
          </w:tcPr>
          <w:p w14:paraId="49BE2BBA" w14:textId="77777777" w:rsidR="00CE2445" w:rsidRPr="00CE2445" w:rsidRDefault="00CE2445" w:rsidP="00435411">
            <w:pPr>
              <w:jc w:val="right"/>
              <w:rPr>
                <w:color w:val="000000"/>
                <w:sz w:val="20"/>
                <w:szCs w:val="20"/>
              </w:rPr>
            </w:pPr>
            <w:r w:rsidRPr="00CE2445">
              <w:rPr>
                <w:color w:val="000000"/>
                <w:sz w:val="20"/>
                <w:szCs w:val="20"/>
              </w:rPr>
              <w:t>-4,044.00</w:t>
            </w:r>
          </w:p>
        </w:tc>
        <w:tc>
          <w:tcPr>
            <w:tcW w:w="1117" w:type="dxa"/>
            <w:tcBorders>
              <w:top w:val="nil"/>
              <w:left w:val="nil"/>
              <w:right w:val="nil"/>
            </w:tcBorders>
            <w:shd w:val="clear" w:color="auto" w:fill="auto"/>
            <w:noWrap/>
            <w:vAlign w:val="bottom"/>
            <w:hideMark/>
          </w:tcPr>
          <w:p w14:paraId="1FA05650" w14:textId="77777777" w:rsidR="00CE2445" w:rsidRPr="00CE2445" w:rsidRDefault="00CE2445" w:rsidP="00435411">
            <w:pPr>
              <w:jc w:val="right"/>
              <w:rPr>
                <w:color w:val="000000"/>
                <w:sz w:val="20"/>
                <w:szCs w:val="20"/>
              </w:rPr>
            </w:pPr>
            <w:r w:rsidRPr="00CE2445">
              <w:rPr>
                <w:color w:val="000000"/>
                <w:sz w:val="20"/>
                <w:szCs w:val="20"/>
              </w:rPr>
              <w:t>-5,047.70</w:t>
            </w:r>
          </w:p>
        </w:tc>
      </w:tr>
      <w:tr w:rsidR="00CE2445" w:rsidRPr="00CE2445" w14:paraId="3AE998D5" w14:textId="77777777" w:rsidTr="00435411">
        <w:trPr>
          <w:trHeight w:val="300"/>
          <w:jc w:val="center"/>
        </w:trPr>
        <w:tc>
          <w:tcPr>
            <w:tcW w:w="4646" w:type="dxa"/>
            <w:tcBorders>
              <w:top w:val="nil"/>
              <w:left w:val="nil"/>
              <w:right w:val="nil"/>
            </w:tcBorders>
            <w:shd w:val="clear" w:color="000000" w:fill="F2F2F2"/>
            <w:noWrap/>
            <w:vAlign w:val="bottom"/>
            <w:hideMark/>
          </w:tcPr>
          <w:p w14:paraId="7FA2E760" w14:textId="77777777" w:rsidR="00CE2445" w:rsidRPr="00CE2445" w:rsidRDefault="00CE2445" w:rsidP="00435411">
            <w:pPr>
              <w:rPr>
                <w:color w:val="000000"/>
                <w:sz w:val="20"/>
                <w:szCs w:val="20"/>
              </w:rPr>
            </w:pPr>
            <w:r w:rsidRPr="00CE2445">
              <w:rPr>
                <w:color w:val="000000"/>
                <w:sz w:val="20"/>
                <w:szCs w:val="20"/>
              </w:rPr>
              <w:t xml:space="preserve">     % del PIB </w:t>
            </w:r>
          </w:p>
        </w:tc>
        <w:tc>
          <w:tcPr>
            <w:tcW w:w="957" w:type="dxa"/>
            <w:tcBorders>
              <w:top w:val="nil"/>
              <w:left w:val="nil"/>
              <w:right w:val="nil"/>
            </w:tcBorders>
            <w:shd w:val="clear" w:color="000000" w:fill="F2F2F2"/>
            <w:noWrap/>
            <w:vAlign w:val="bottom"/>
            <w:hideMark/>
          </w:tcPr>
          <w:p w14:paraId="279337FA" w14:textId="77777777" w:rsidR="00CE2445" w:rsidRPr="00CE2445" w:rsidRDefault="00CE2445" w:rsidP="00435411">
            <w:pPr>
              <w:jc w:val="right"/>
              <w:rPr>
                <w:color w:val="000000"/>
                <w:sz w:val="20"/>
                <w:szCs w:val="20"/>
              </w:rPr>
            </w:pPr>
            <w:r w:rsidRPr="00CE2445">
              <w:rPr>
                <w:color w:val="000000"/>
                <w:sz w:val="20"/>
                <w:szCs w:val="20"/>
              </w:rPr>
              <w:t>-0.2</w:t>
            </w:r>
          </w:p>
        </w:tc>
        <w:tc>
          <w:tcPr>
            <w:tcW w:w="1117" w:type="dxa"/>
            <w:tcBorders>
              <w:top w:val="nil"/>
              <w:left w:val="nil"/>
              <w:right w:val="nil"/>
            </w:tcBorders>
            <w:shd w:val="clear" w:color="000000" w:fill="F2F2F2"/>
            <w:noWrap/>
            <w:vAlign w:val="bottom"/>
            <w:hideMark/>
          </w:tcPr>
          <w:p w14:paraId="55D72D16" w14:textId="77777777" w:rsidR="00CE2445" w:rsidRPr="00CE2445" w:rsidRDefault="00CE2445" w:rsidP="00435411">
            <w:pPr>
              <w:jc w:val="right"/>
              <w:rPr>
                <w:color w:val="000000"/>
                <w:sz w:val="20"/>
                <w:szCs w:val="20"/>
              </w:rPr>
            </w:pPr>
            <w:r w:rsidRPr="00CE2445">
              <w:rPr>
                <w:color w:val="000000"/>
                <w:sz w:val="20"/>
                <w:szCs w:val="20"/>
              </w:rPr>
              <w:t>-0.3</w:t>
            </w:r>
          </w:p>
        </w:tc>
      </w:tr>
      <w:tr w:rsidR="00CE2445" w:rsidRPr="00CE2445" w14:paraId="64207AA2" w14:textId="77777777" w:rsidTr="00435411">
        <w:trPr>
          <w:trHeight w:val="300"/>
          <w:jc w:val="center"/>
        </w:trPr>
        <w:tc>
          <w:tcPr>
            <w:tcW w:w="4646" w:type="dxa"/>
            <w:tcBorders>
              <w:left w:val="nil"/>
              <w:bottom w:val="nil"/>
              <w:right w:val="nil"/>
            </w:tcBorders>
            <w:shd w:val="clear" w:color="auto" w:fill="auto"/>
            <w:noWrap/>
            <w:vAlign w:val="bottom"/>
            <w:hideMark/>
          </w:tcPr>
          <w:p w14:paraId="2E98F62D" w14:textId="77777777" w:rsidR="00CE2445" w:rsidRPr="00CE2445" w:rsidRDefault="00CE2445" w:rsidP="00435411">
            <w:pPr>
              <w:rPr>
                <w:i/>
                <w:iCs/>
                <w:color w:val="000000"/>
                <w:sz w:val="20"/>
                <w:szCs w:val="20"/>
              </w:rPr>
            </w:pPr>
            <w:r w:rsidRPr="00CE2445">
              <w:rPr>
                <w:i/>
                <w:iCs/>
                <w:color w:val="000000"/>
                <w:sz w:val="20"/>
                <w:szCs w:val="20"/>
              </w:rPr>
              <w:t xml:space="preserve">Variables de apoyo: </w:t>
            </w:r>
          </w:p>
        </w:tc>
        <w:tc>
          <w:tcPr>
            <w:tcW w:w="957" w:type="dxa"/>
            <w:tcBorders>
              <w:left w:val="nil"/>
              <w:bottom w:val="nil"/>
              <w:right w:val="nil"/>
            </w:tcBorders>
            <w:shd w:val="clear" w:color="auto" w:fill="auto"/>
            <w:noWrap/>
            <w:vAlign w:val="bottom"/>
            <w:hideMark/>
          </w:tcPr>
          <w:p w14:paraId="3D28EB2C" w14:textId="77777777" w:rsidR="00CE2445" w:rsidRPr="00CE2445" w:rsidRDefault="00CE2445" w:rsidP="00435411">
            <w:pPr>
              <w:rPr>
                <w:i/>
                <w:iCs/>
                <w:color w:val="000000"/>
                <w:sz w:val="20"/>
                <w:szCs w:val="20"/>
              </w:rPr>
            </w:pPr>
          </w:p>
        </w:tc>
        <w:tc>
          <w:tcPr>
            <w:tcW w:w="1117" w:type="dxa"/>
            <w:tcBorders>
              <w:left w:val="nil"/>
              <w:bottom w:val="nil"/>
              <w:right w:val="nil"/>
            </w:tcBorders>
            <w:shd w:val="clear" w:color="auto" w:fill="auto"/>
            <w:noWrap/>
            <w:vAlign w:val="bottom"/>
            <w:hideMark/>
          </w:tcPr>
          <w:p w14:paraId="65D2D41E" w14:textId="77777777" w:rsidR="00CE2445" w:rsidRPr="00CE2445" w:rsidRDefault="00CE2445" w:rsidP="00435411">
            <w:pPr>
              <w:rPr>
                <w:sz w:val="20"/>
                <w:szCs w:val="20"/>
              </w:rPr>
            </w:pPr>
          </w:p>
        </w:tc>
      </w:tr>
      <w:tr w:rsidR="00CE2445" w:rsidRPr="00CE2445" w14:paraId="66DFBC3A"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4D0D7CBB" w14:textId="77777777" w:rsidR="00CE2445" w:rsidRPr="00CE2445" w:rsidRDefault="00CE2445" w:rsidP="00435411">
            <w:pPr>
              <w:rPr>
                <w:color w:val="000000"/>
                <w:sz w:val="20"/>
                <w:szCs w:val="20"/>
              </w:rPr>
            </w:pPr>
            <w:r w:rsidRPr="00CE2445">
              <w:rPr>
                <w:color w:val="000000"/>
                <w:sz w:val="20"/>
                <w:szCs w:val="20"/>
              </w:rPr>
              <w:t xml:space="preserve">PIB de los Estados Unidos  </w:t>
            </w:r>
          </w:p>
        </w:tc>
        <w:tc>
          <w:tcPr>
            <w:tcW w:w="957" w:type="dxa"/>
            <w:tcBorders>
              <w:top w:val="nil"/>
              <w:left w:val="nil"/>
              <w:bottom w:val="nil"/>
              <w:right w:val="nil"/>
            </w:tcBorders>
            <w:shd w:val="clear" w:color="000000" w:fill="F2F2F2"/>
            <w:noWrap/>
            <w:vAlign w:val="bottom"/>
            <w:hideMark/>
          </w:tcPr>
          <w:p w14:paraId="1976F0A5" w14:textId="77777777" w:rsidR="00CE2445" w:rsidRPr="00CE2445" w:rsidRDefault="00CE2445" w:rsidP="00435411">
            <w:pPr>
              <w:rPr>
                <w:color w:val="000000"/>
                <w:sz w:val="20"/>
                <w:szCs w:val="20"/>
              </w:rPr>
            </w:pPr>
            <w:r w:rsidRPr="00CE2445">
              <w:rPr>
                <w:color w:val="000000"/>
                <w:sz w:val="20"/>
                <w:szCs w:val="20"/>
              </w:rPr>
              <w:t> </w:t>
            </w:r>
          </w:p>
        </w:tc>
        <w:tc>
          <w:tcPr>
            <w:tcW w:w="1117" w:type="dxa"/>
            <w:tcBorders>
              <w:top w:val="nil"/>
              <w:left w:val="nil"/>
              <w:bottom w:val="nil"/>
              <w:right w:val="nil"/>
            </w:tcBorders>
            <w:shd w:val="clear" w:color="000000" w:fill="F2F2F2"/>
            <w:noWrap/>
            <w:vAlign w:val="bottom"/>
            <w:hideMark/>
          </w:tcPr>
          <w:p w14:paraId="02FAB433" w14:textId="77777777" w:rsidR="00CE2445" w:rsidRPr="00CE2445" w:rsidRDefault="00CE2445" w:rsidP="00435411">
            <w:pPr>
              <w:rPr>
                <w:color w:val="000000"/>
                <w:sz w:val="20"/>
                <w:szCs w:val="20"/>
              </w:rPr>
            </w:pPr>
            <w:r w:rsidRPr="00CE2445">
              <w:rPr>
                <w:color w:val="000000"/>
                <w:sz w:val="20"/>
                <w:szCs w:val="20"/>
              </w:rPr>
              <w:t> </w:t>
            </w:r>
          </w:p>
        </w:tc>
      </w:tr>
      <w:tr w:rsidR="00CE2445" w:rsidRPr="00CE2445" w14:paraId="0C94B50F"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3044E3A7" w14:textId="77777777" w:rsidR="00CE2445" w:rsidRPr="00CE2445" w:rsidRDefault="00CE2445" w:rsidP="00435411">
            <w:pPr>
              <w:rPr>
                <w:color w:val="000000"/>
                <w:sz w:val="20"/>
                <w:szCs w:val="20"/>
              </w:rPr>
            </w:pPr>
            <w:r w:rsidRPr="00CE2445">
              <w:rPr>
                <w:color w:val="000000"/>
                <w:sz w:val="20"/>
                <w:szCs w:val="20"/>
              </w:rPr>
              <w:t xml:space="preserve">     Crecimiento % real </w:t>
            </w:r>
          </w:p>
        </w:tc>
        <w:tc>
          <w:tcPr>
            <w:tcW w:w="957" w:type="dxa"/>
            <w:tcBorders>
              <w:top w:val="nil"/>
              <w:left w:val="nil"/>
              <w:bottom w:val="nil"/>
              <w:right w:val="nil"/>
            </w:tcBorders>
            <w:shd w:val="clear" w:color="auto" w:fill="auto"/>
            <w:noWrap/>
            <w:vAlign w:val="bottom"/>
            <w:hideMark/>
          </w:tcPr>
          <w:p w14:paraId="5DDE3B55" w14:textId="77777777" w:rsidR="00CE2445" w:rsidRPr="00CE2445" w:rsidRDefault="00CE2445" w:rsidP="00435411">
            <w:pPr>
              <w:jc w:val="right"/>
              <w:rPr>
                <w:color w:val="000000"/>
                <w:sz w:val="20"/>
                <w:szCs w:val="20"/>
              </w:rPr>
            </w:pPr>
            <w:r w:rsidRPr="00CE2445">
              <w:rPr>
                <w:color w:val="000000"/>
                <w:sz w:val="20"/>
                <w:szCs w:val="20"/>
              </w:rPr>
              <w:t>2.2</w:t>
            </w:r>
          </w:p>
        </w:tc>
        <w:tc>
          <w:tcPr>
            <w:tcW w:w="1117" w:type="dxa"/>
            <w:tcBorders>
              <w:top w:val="nil"/>
              <w:left w:val="nil"/>
              <w:bottom w:val="nil"/>
              <w:right w:val="nil"/>
            </w:tcBorders>
            <w:shd w:val="clear" w:color="auto" w:fill="auto"/>
            <w:noWrap/>
            <w:vAlign w:val="bottom"/>
            <w:hideMark/>
          </w:tcPr>
          <w:p w14:paraId="31971887" w14:textId="77777777" w:rsidR="00CE2445" w:rsidRPr="00CE2445" w:rsidRDefault="00CE2445" w:rsidP="00435411">
            <w:pPr>
              <w:jc w:val="right"/>
              <w:rPr>
                <w:color w:val="000000"/>
                <w:sz w:val="20"/>
                <w:szCs w:val="20"/>
              </w:rPr>
            </w:pPr>
            <w:r w:rsidRPr="00CE2445">
              <w:rPr>
                <w:color w:val="000000"/>
                <w:sz w:val="20"/>
                <w:szCs w:val="20"/>
              </w:rPr>
              <w:t>2.1</w:t>
            </w:r>
          </w:p>
        </w:tc>
      </w:tr>
      <w:tr w:rsidR="00CE2445" w:rsidRPr="00CE2445" w14:paraId="45B2F9DD"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3FF2B4E6" w14:textId="77777777" w:rsidR="00CE2445" w:rsidRPr="00CE2445" w:rsidRDefault="00CE2445" w:rsidP="00435411">
            <w:pPr>
              <w:rPr>
                <w:color w:val="000000"/>
                <w:sz w:val="20"/>
                <w:szCs w:val="20"/>
              </w:rPr>
            </w:pPr>
            <w:r w:rsidRPr="00CE2445">
              <w:rPr>
                <w:color w:val="000000"/>
                <w:sz w:val="20"/>
                <w:szCs w:val="20"/>
              </w:rPr>
              <w:t xml:space="preserve">Producción Industrial de los Estados Unidos </w:t>
            </w:r>
          </w:p>
        </w:tc>
        <w:tc>
          <w:tcPr>
            <w:tcW w:w="957" w:type="dxa"/>
            <w:tcBorders>
              <w:top w:val="nil"/>
              <w:left w:val="nil"/>
              <w:bottom w:val="nil"/>
              <w:right w:val="nil"/>
            </w:tcBorders>
            <w:shd w:val="clear" w:color="000000" w:fill="F2F2F2"/>
            <w:noWrap/>
            <w:vAlign w:val="bottom"/>
            <w:hideMark/>
          </w:tcPr>
          <w:p w14:paraId="5D12BB16" w14:textId="77777777" w:rsidR="00CE2445" w:rsidRPr="00CE2445" w:rsidRDefault="00CE2445" w:rsidP="00435411">
            <w:pPr>
              <w:rPr>
                <w:color w:val="000000"/>
                <w:sz w:val="20"/>
                <w:szCs w:val="20"/>
              </w:rPr>
            </w:pPr>
            <w:r w:rsidRPr="00CE2445">
              <w:rPr>
                <w:color w:val="000000"/>
                <w:sz w:val="20"/>
                <w:szCs w:val="20"/>
              </w:rPr>
              <w:t> </w:t>
            </w:r>
          </w:p>
        </w:tc>
        <w:tc>
          <w:tcPr>
            <w:tcW w:w="1117" w:type="dxa"/>
            <w:tcBorders>
              <w:top w:val="nil"/>
              <w:left w:val="nil"/>
              <w:bottom w:val="nil"/>
              <w:right w:val="nil"/>
            </w:tcBorders>
            <w:shd w:val="clear" w:color="000000" w:fill="F2F2F2"/>
            <w:noWrap/>
            <w:vAlign w:val="bottom"/>
            <w:hideMark/>
          </w:tcPr>
          <w:p w14:paraId="32A02B89" w14:textId="77777777" w:rsidR="00CE2445" w:rsidRPr="00CE2445" w:rsidRDefault="00CE2445" w:rsidP="00435411">
            <w:pPr>
              <w:rPr>
                <w:color w:val="000000"/>
                <w:sz w:val="20"/>
                <w:szCs w:val="20"/>
              </w:rPr>
            </w:pPr>
            <w:r w:rsidRPr="00CE2445">
              <w:rPr>
                <w:color w:val="000000"/>
                <w:sz w:val="20"/>
                <w:szCs w:val="20"/>
              </w:rPr>
              <w:t> </w:t>
            </w:r>
          </w:p>
        </w:tc>
      </w:tr>
      <w:tr w:rsidR="00CE2445" w:rsidRPr="00CE2445" w14:paraId="39ADBACB"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7E287DFB" w14:textId="77777777" w:rsidR="00CE2445" w:rsidRPr="00CE2445" w:rsidRDefault="00CE2445" w:rsidP="00435411">
            <w:pPr>
              <w:rPr>
                <w:color w:val="000000"/>
                <w:sz w:val="20"/>
                <w:szCs w:val="20"/>
              </w:rPr>
            </w:pPr>
            <w:r w:rsidRPr="00CE2445">
              <w:rPr>
                <w:color w:val="000000"/>
                <w:sz w:val="20"/>
                <w:szCs w:val="20"/>
              </w:rPr>
              <w:t xml:space="preserve">     Crecimiento % real </w:t>
            </w:r>
          </w:p>
        </w:tc>
        <w:tc>
          <w:tcPr>
            <w:tcW w:w="957" w:type="dxa"/>
            <w:tcBorders>
              <w:top w:val="nil"/>
              <w:left w:val="nil"/>
              <w:bottom w:val="nil"/>
              <w:right w:val="nil"/>
            </w:tcBorders>
            <w:shd w:val="clear" w:color="auto" w:fill="auto"/>
            <w:noWrap/>
            <w:vAlign w:val="bottom"/>
            <w:hideMark/>
          </w:tcPr>
          <w:p w14:paraId="7275F932" w14:textId="77777777" w:rsidR="00CE2445" w:rsidRPr="00CE2445" w:rsidRDefault="00CE2445" w:rsidP="00435411">
            <w:pPr>
              <w:jc w:val="right"/>
              <w:rPr>
                <w:color w:val="000000"/>
                <w:sz w:val="20"/>
                <w:szCs w:val="20"/>
              </w:rPr>
            </w:pPr>
            <w:r w:rsidRPr="00CE2445">
              <w:rPr>
                <w:color w:val="000000"/>
                <w:sz w:val="20"/>
                <w:szCs w:val="20"/>
              </w:rPr>
              <w:t>1.3</w:t>
            </w:r>
          </w:p>
        </w:tc>
        <w:tc>
          <w:tcPr>
            <w:tcW w:w="1117" w:type="dxa"/>
            <w:tcBorders>
              <w:top w:val="nil"/>
              <w:left w:val="nil"/>
              <w:bottom w:val="nil"/>
              <w:right w:val="nil"/>
            </w:tcBorders>
            <w:shd w:val="clear" w:color="auto" w:fill="auto"/>
            <w:noWrap/>
            <w:vAlign w:val="bottom"/>
            <w:hideMark/>
          </w:tcPr>
          <w:p w14:paraId="32E5EC79" w14:textId="77777777" w:rsidR="00CE2445" w:rsidRPr="00CE2445" w:rsidRDefault="00CE2445" w:rsidP="00435411">
            <w:pPr>
              <w:jc w:val="right"/>
              <w:rPr>
                <w:color w:val="000000"/>
                <w:sz w:val="20"/>
                <w:szCs w:val="20"/>
              </w:rPr>
            </w:pPr>
            <w:r w:rsidRPr="00CE2445">
              <w:rPr>
                <w:color w:val="000000"/>
                <w:sz w:val="20"/>
                <w:szCs w:val="20"/>
              </w:rPr>
              <w:t>2</w:t>
            </w:r>
          </w:p>
        </w:tc>
      </w:tr>
      <w:tr w:rsidR="00CE2445" w:rsidRPr="00CE2445" w14:paraId="24BC1702"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58E3D99B" w14:textId="77777777" w:rsidR="00CE2445" w:rsidRPr="00CE2445" w:rsidRDefault="00CE2445" w:rsidP="00435411">
            <w:pPr>
              <w:rPr>
                <w:color w:val="000000"/>
                <w:sz w:val="20"/>
                <w:szCs w:val="20"/>
              </w:rPr>
            </w:pPr>
            <w:r w:rsidRPr="00CE2445">
              <w:rPr>
                <w:color w:val="000000"/>
                <w:sz w:val="20"/>
                <w:szCs w:val="20"/>
              </w:rPr>
              <w:t xml:space="preserve">Inflación de los Estados Unidos (%) </w:t>
            </w:r>
          </w:p>
        </w:tc>
        <w:tc>
          <w:tcPr>
            <w:tcW w:w="957" w:type="dxa"/>
            <w:tcBorders>
              <w:top w:val="nil"/>
              <w:left w:val="nil"/>
              <w:bottom w:val="nil"/>
              <w:right w:val="nil"/>
            </w:tcBorders>
            <w:shd w:val="clear" w:color="000000" w:fill="F2F2F2"/>
            <w:noWrap/>
            <w:vAlign w:val="bottom"/>
            <w:hideMark/>
          </w:tcPr>
          <w:p w14:paraId="382003AC" w14:textId="77777777" w:rsidR="00CE2445" w:rsidRPr="00CE2445" w:rsidRDefault="00CE2445" w:rsidP="00435411">
            <w:pPr>
              <w:rPr>
                <w:color w:val="000000"/>
                <w:sz w:val="20"/>
                <w:szCs w:val="20"/>
              </w:rPr>
            </w:pPr>
            <w:r w:rsidRPr="00CE2445">
              <w:rPr>
                <w:color w:val="000000"/>
                <w:sz w:val="20"/>
                <w:szCs w:val="20"/>
              </w:rPr>
              <w:t> </w:t>
            </w:r>
          </w:p>
        </w:tc>
        <w:tc>
          <w:tcPr>
            <w:tcW w:w="1117" w:type="dxa"/>
            <w:tcBorders>
              <w:top w:val="nil"/>
              <w:left w:val="nil"/>
              <w:bottom w:val="nil"/>
              <w:right w:val="nil"/>
            </w:tcBorders>
            <w:shd w:val="clear" w:color="000000" w:fill="F2F2F2"/>
            <w:noWrap/>
            <w:vAlign w:val="bottom"/>
            <w:hideMark/>
          </w:tcPr>
          <w:p w14:paraId="3F39BAB2" w14:textId="77777777" w:rsidR="00CE2445" w:rsidRPr="00CE2445" w:rsidRDefault="00CE2445" w:rsidP="00435411">
            <w:pPr>
              <w:rPr>
                <w:color w:val="000000"/>
                <w:sz w:val="20"/>
                <w:szCs w:val="20"/>
              </w:rPr>
            </w:pPr>
            <w:r w:rsidRPr="00CE2445">
              <w:rPr>
                <w:color w:val="000000"/>
                <w:sz w:val="20"/>
                <w:szCs w:val="20"/>
              </w:rPr>
              <w:t> </w:t>
            </w:r>
          </w:p>
        </w:tc>
      </w:tr>
      <w:tr w:rsidR="00CE2445" w:rsidRPr="00CE2445" w14:paraId="2FCF63A3"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5ECB611F" w14:textId="77777777" w:rsidR="00CE2445" w:rsidRPr="00CE2445" w:rsidRDefault="00CE2445" w:rsidP="00435411">
            <w:pPr>
              <w:rPr>
                <w:color w:val="000000"/>
                <w:sz w:val="20"/>
                <w:szCs w:val="20"/>
              </w:rPr>
            </w:pPr>
            <w:r w:rsidRPr="00CE2445">
              <w:rPr>
                <w:color w:val="000000"/>
                <w:sz w:val="20"/>
                <w:szCs w:val="20"/>
              </w:rPr>
              <w:t xml:space="preserve">     Promedio </w:t>
            </w:r>
          </w:p>
        </w:tc>
        <w:tc>
          <w:tcPr>
            <w:tcW w:w="957" w:type="dxa"/>
            <w:tcBorders>
              <w:top w:val="nil"/>
              <w:left w:val="nil"/>
              <w:bottom w:val="nil"/>
              <w:right w:val="nil"/>
            </w:tcBorders>
            <w:shd w:val="clear" w:color="auto" w:fill="auto"/>
            <w:noWrap/>
            <w:vAlign w:val="bottom"/>
            <w:hideMark/>
          </w:tcPr>
          <w:p w14:paraId="3B59C159" w14:textId="77777777" w:rsidR="00CE2445" w:rsidRPr="00CE2445" w:rsidRDefault="00CE2445" w:rsidP="00435411">
            <w:pPr>
              <w:jc w:val="right"/>
              <w:rPr>
                <w:color w:val="000000"/>
                <w:sz w:val="20"/>
                <w:szCs w:val="20"/>
              </w:rPr>
            </w:pPr>
            <w:r w:rsidRPr="00CE2445">
              <w:rPr>
                <w:color w:val="000000"/>
                <w:sz w:val="20"/>
                <w:szCs w:val="20"/>
              </w:rPr>
              <w:t>2.7</w:t>
            </w:r>
          </w:p>
        </w:tc>
        <w:tc>
          <w:tcPr>
            <w:tcW w:w="1117" w:type="dxa"/>
            <w:tcBorders>
              <w:top w:val="nil"/>
              <w:left w:val="nil"/>
              <w:bottom w:val="nil"/>
              <w:right w:val="nil"/>
            </w:tcBorders>
            <w:shd w:val="clear" w:color="auto" w:fill="auto"/>
            <w:noWrap/>
            <w:vAlign w:val="bottom"/>
            <w:hideMark/>
          </w:tcPr>
          <w:p w14:paraId="7D5B3A10" w14:textId="77777777" w:rsidR="00CE2445" w:rsidRPr="00CE2445" w:rsidRDefault="00CE2445" w:rsidP="00435411">
            <w:pPr>
              <w:jc w:val="right"/>
              <w:rPr>
                <w:color w:val="000000"/>
                <w:sz w:val="20"/>
                <w:szCs w:val="20"/>
              </w:rPr>
            </w:pPr>
            <w:r w:rsidRPr="00CE2445">
              <w:rPr>
                <w:color w:val="000000"/>
                <w:sz w:val="20"/>
                <w:szCs w:val="20"/>
              </w:rPr>
              <w:t>2.3</w:t>
            </w:r>
          </w:p>
        </w:tc>
      </w:tr>
      <w:tr w:rsidR="00CE2445" w:rsidRPr="00CE2445" w14:paraId="7CE661DF"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422E2660" w14:textId="77777777" w:rsidR="00CE2445" w:rsidRPr="00CE2445" w:rsidRDefault="00CE2445" w:rsidP="00435411">
            <w:pPr>
              <w:rPr>
                <w:color w:val="000000"/>
                <w:sz w:val="20"/>
                <w:szCs w:val="20"/>
              </w:rPr>
            </w:pPr>
            <w:r w:rsidRPr="00CE2445">
              <w:rPr>
                <w:color w:val="000000"/>
                <w:sz w:val="20"/>
                <w:szCs w:val="20"/>
              </w:rPr>
              <w:t xml:space="preserve">Tasa de interés internacional  </w:t>
            </w:r>
          </w:p>
        </w:tc>
        <w:tc>
          <w:tcPr>
            <w:tcW w:w="957" w:type="dxa"/>
            <w:tcBorders>
              <w:top w:val="nil"/>
              <w:left w:val="nil"/>
              <w:bottom w:val="nil"/>
              <w:right w:val="nil"/>
            </w:tcBorders>
            <w:shd w:val="clear" w:color="000000" w:fill="F2F2F2"/>
            <w:noWrap/>
            <w:vAlign w:val="bottom"/>
            <w:hideMark/>
          </w:tcPr>
          <w:p w14:paraId="7F83199F" w14:textId="77777777" w:rsidR="00CE2445" w:rsidRPr="00CE2445" w:rsidRDefault="00CE2445" w:rsidP="00435411">
            <w:pPr>
              <w:rPr>
                <w:color w:val="000000"/>
                <w:sz w:val="20"/>
                <w:szCs w:val="20"/>
              </w:rPr>
            </w:pPr>
            <w:r w:rsidRPr="00CE2445">
              <w:rPr>
                <w:color w:val="000000"/>
                <w:sz w:val="20"/>
                <w:szCs w:val="20"/>
              </w:rPr>
              <w:t> </w:t>
            </w:r>
          </w:p>
        </w:tc>
        <w:tc>
          <w:tcPr>
            <w:tcW w:w="1117" w:type="dxa"/>
            <w:tcBorders>
              <w:top w:val="nil"/>
              <w:left w:val="nil"/>
              <w:bottom w:val="nil"/>
              <w:right w:val="nil"/>
            </w:tcBorders>
            <w:shd w:val="clear" w:color="000000" w:fill="F2F2F2"/>
            <w:noWrap/>
            <w:vAlign w:val="bottom"/>
            <w:hideMark/>
          </w:tcPr>
          <w:p w14:paraId="637AE66A" w14:textId="77777777" w:rsidR="00CE2445" w:rsidRPr="00CE2445" w:rsidRDefault="00CE2445" w:rsidP="00435411">
            <w:pPr>
              <w:rPr>
                <w:color w:val="000000"/>
                <w:sz w:val="20"/>
                <w:szCs w:val="20"/>
              </w:rPr>
            </w:pPr>
            <w:r w:rsidRPr="00CE2445">
              <w:rPr>
                <w:color w:val="000000"/>
                <w:sz w:val="20"/>
                <w:szCs w:val="20"/>
              </w:rPr>
              <w:t> </w:t>
            </w:r>
          </w:p>
        </w:tc>
      </w:tr>
      <w:tr w:rsidR="00CE2445" w:rsidRPr="00CE2445" w14:paraId="3128FA39"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2D45A166" w14:textId="77777777" w:rsidR="00CE2445" w:rsidRPr="00CE2445" w:rsidRDefault="00CE2445" w:rsidP="00435411">
            <w:pPr>
              <w:rPr>
                <w:color w:val="000000"/>
                <w:sz w:val="20"/>
                <w:szCs w:val="20"/>
              </w:rPr>
            </w:pPr>
            <w:r w:rsidRPr="00CE2445">
              <w:rPr>
                <w:color w:val="000000"/>
                <w:sz w:val="20"/>
                <w:szCs w:val="20"/>
              </w:rPr>
              <w:t xml:space="preserve">     SOFR 3 meses (promedio) </w:t>
            </w:r>
          </w:p>
        </w:tc>
        <w:tc>
          <w:tcPr>
            <w:tcW w:w="957" w:type="dxa"/>
            <w:tcBorders>
              <w:top w:val="nil"/>
              <w:left w:val="nil"/>
              <w:bottom w:val="nil"/>
              <w:right w:val="nil"/>
            </w:tcBorders>
            <w:shd w:val="clear" w:color="auto" w:fill="auto"/>
            <w:noWrap/>
            <w:vAlign w:val="bottom"/>
            <w:hideMark/>
          </w:tcPr>
          <w:p w14:paraId="634D836B" w14:textId="77777777" w:rsidR="00CE2445" w:rsidRPr="00CE2445" w:rsidRDefault="00CE2445" w:rsidP="00435411">
            <w:pPr>
              <w:jc w:val="right"/>
              <w:rPr>
                <w:color w:val="000000"/>
                <w:sz w:val="20"/>
                <w:szCs w:val="20"/>
              </w:rPr>
            </w:pPr>
            <w:r w:rsidRPr="00CE2445">
              <w:rPr>
                <w:color w:val="000000"/>
                <w:sz w:val="20"/>
                <w:szCs w:val="20"/>
              </w:rPr>
              <w:t>4.9</w:t>
            </w:r>
          </w:p>
        </w:tc>
        <w:tc>
          <w:tcPr>
            <w:tcW w:w="1117" w:type="dxa"/>
            <w:tcBorders>
              <w:top w:val="nil"/>
              <w:left w:val="nil"/>
              <w:bottom w:val="nil"/>
              <w:right w:val="nil"/>
            </w:tcBorders>
            <w:shd w:val="clear" w:color="auto" w:fill="auto"/>
            <w:noWrap/>
            <w:vAlign w:val="bottom"/>
            <w:hideMark/>
          </w:tcPr>
          <w:p w14:paraId="2FB79702" w14:textId="77777777" w:rsidR="00CE2445" w:rsidRPr="00CE2445" w:rsidRDefault="00CE2445" w:rsidP="00435411">
            <w:pPr>
              <w:jc w:val="right"/>
              <w:rPr>
                <w:color w:val="000000"/>
                <w:sz w:val="20"/>
                <w:szCs w:val="20"/>
              </w:rPr>
            </w:pPr>
            <w:r w:rsidRPr="00CE2445">
              <w:rPr>
                <w:color w:val="000000"/>
                <w:sz w:val="20"/>
                <w:szCs w:val="20"/>
              </w:rPr>
              <w:t>4.1</w:t>
            </w:r>
          </w:p>
        </w:tc>
      </w:tr>
      <w:tr w:rsidR="00CE2445" w:rsidRPr="00CE2445" w14:paraId="4B7D7B11"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0C143606" w14:textId="77777777" w:rsidR="00CE2445" w:rsidRPr="00CE2445" w:rsidRDefault="00CE2445" w:rsidP="00435411">
            <w:pPr>
              <w:rPr>
                <w:color w:val="000000"/>
                <w:sz w:val="20"/>
                <w:szCs w:val="20"/>
              </w:rPr>
            </w:pPr>
            <w:r w:rsidRPr="00CE2445">
              <w:rPr>
                <w:color w:val="000000"/>
                <w:sz w:val="20"/>
                <w:szCs w:val="20"/>
              </w:rPr>
              <w:t xml:space="preserve">     FED </w:t>
            </w:r>
            <w:proofErr w:type="spellStart"/>
            <w:r w:rsidRPr="00CE2445">
              <w:rPr>
                <w:color w:val="000000"/>
                <w:sz w:val="20"/>
                <w:szCs w:val="20"/>
              </w:rPr>
              <w:t>Funds</w:t>
            </w:r>
            <w:proofErr w:type="spellEnd"/>
            <w:r w:rsidRPr="00CE2445">
              <w:rPr>
                <w:color w:val="000000"/>
                <w:sz w:val="20"/>
                <w:szCs w:val="20"/>
              </w:rPr>
              <w:t xml:space="preserve"> </w:t>
            </w:r>
            <w:proofErr w:type="spellStart"/>
            <w:r w:rsidRPr="00CE2445">
              <w:rPr>
                <w:color w:val="000000"/>
                <w:sz w:val="20"/>
                <w:szCs w:val="20"/>
              </w:rPr>
              <w:t>Rate</w:t>
            </w:r>
            <w:proofErr w:type="spellEnd"/>
            <w:r w:rsidRPr="00CE2445">
              <w:rPr>
                <w:color w:val="000000"/>
                <w:sz w:val="20"/>
                <w:szCs w:val="20"/>
              </w:rPr>
              <w:t xml:space="preserve"> (promedio) </w:t>
            </w:r>
          </w:p>
        </w:tc>
        <w:tc>
          <w:tcPr>
            <w:tcW w:w="957" w:type="dxa"/>
            <w:tcBorders>
              <w:top w:val="nil"/>
              <w:left w:val="nil"/>
              <w:bottom w:val="nil"/>
              <w:right w:val="nil"/>
            </w:tcBorders>
            <w:shd w:val="clear" w:color="000000" w:fill="F2F2F2"/>
            <w:noWrap/>
            <w:vAlign w:val="bottom"/>
            <w:hideMark/>
          </w:tcPr>
          <w:p w14:paraId="7E694B6F" w14:textId="77777777" w:rsidR="00CE2445" w:rsidRPr="00CE2445" w:rsidRDefault="00CE2445" w:rsidP="00435411">
            <w:pPr>
              <w:jc w:val="right"/>
              <w:rPr>
                <w:color w:val="000000"/>
                <w:sz w:val="20"/>
                <w:szCs w:val="20"/>
              </w:rPr>
            </w:pPr>
            <w:r w:rsidRPr="00CE2445">
              <w:rPr>
                <w:color w:val="000000"/>
                <w:sz w:val="20"/>
                <w:szCs w:val="20"/>
              </w:rPr>
              <w:t>5</w:t>
            </w:r>
          </w:p>
        </w:tc>
        <w:tc>
          <w:tcPr>
            <w:tcW w:w="1117" w:type="dxa"/>
            <w:tcBorders>
              <w:top w:val="nil"/>
              <w:left w:val="nil"/>
              <w:bottom w:val="nil"/>
              <w:right w:val="nil"/>
            </w:tcBorders>
            <w:shd w:val="clear" w:color="000000" w:fill="F2F2F2"/>
            <w:noWrap/>
            <w:vAlign w:val="bottom"/>
            <w:hideMark/>
          </w:tcPr>
          <w:p w14:paraId="287FD790" w14:textId="77777777" w:rsidR="00CE2445" w:rsidRPr="00CE2445" w:rsidRDefault="00CE2445" w:rsidP="00435411">
            <w:pPr>
              <w:jc w:val="right"/>
              <w:rPr>
                <w:color w:val="000000"/>
                <w:sz w:val="20"/>
                <w:szCs w:val="20"/>
              </w:rPr>
            </w:pPr>
            <w:r w:rsidRPr="00CE2445">
              <w:rPr>
                <w:color w:val="000000"/>
                <w:sz w:val="20"/>
                <w:szCs w:val="20"/>
              </w:rPr>
              <w:t>4.3</w:t>
            </w:r>
          </w:p>
        </w:tc>
      </w:tr>
      <w:tr w:rsidR="00CE2445" w:rsidRPr="00CE2445" w14:paraId="4641CF2B"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27E70728" w14:textId="77777777" w:rsidR="00CE2445" w:rsidRPr="00CE2445" w:rsidRDefault="00CE2445" w:rsidP="00435411">
            <w:pPr>
              <w:rPr>
                <w:color w:val="000000"/>
                <w:sz w:val="20"/>
                <w:szCs w:val="20"/>
              </w:rPr>
            </w:pPr>
            <w:r w:rsidRPr="00CE2445">
              <w:rPr>
                <w:color w:val="000000"/>
                <w:sz w:val="20"/>
                <w:szCs w:val="20"/>
              </w:rPr>
              <w:t>Petróleo (canasta mexicana)</w:t>
            </w:r>
          </w:p>
        </w:tc>
        <w:tc>
          <w:tcPr>
            <w:tcW w:w="957" w:type="dxa"/>
            <w:tcBorders>
              <w:top w:val="nil"/>
              <w:left w:val="nil"/>
              <w:bottom w:val="nil"/>
              <w:right w:val="nil"/>
            </w:tcBorders>
            <w:shd w:val="clear" w:color="auto" w:fill="auto"/>
            <w:noWrap/>
            <w:vAlign w:val="bottom"/>
            <w:hideMark/>
          </w:tcPr>
          <w:p w14:paraId="650A440C" w14:textId="77777777" w:rsidR="00CE2445" w:rsidRPr="00CE2445" w:rsidRDefault="00CE2445" w:rsidP="00435411">
            <w:pPr>
              <w:rPr>
                <w:color w:val="000000"/>
                <w:sz w:val="20"/>
                <w:szCs w:val="20"/>
              </w:rPr>
            </w:pPr>
          </w:p>
        </w:tc>
        <w:tc>
          <w:tcPr>
            <w:tcW w:w="1117" w:type="dxa"/>
            <w:tcBorders>
              <w:top w:val="nil"/>
              <w:left w:val="nil"/>
              <w:bottom w:val="nil"/>
              <w:right w:val="nil"/>
            </w:tcBorders>
            <w:shd w:val="clear" w:color="auto" w:fill="auto"/>
            <w:noWrap/>
            <w:vAlign w:val="bottom"/>
            <w:hideMark/>
          </w:tcPr>
          <w:p w14:paraId="55E17B3E" w14:textId="77777777" w:rsidR="00CE2445" w:rsidRPr="00CE2445" w:rsidRDefault="00CE2445" w:rsidP="00435411">
            <w:pPr>
              <w:rPr>
                <w:sz w:val="20"/>
                <w:szCs w:val="20"/>
              </w:rPr>
            </w:pPr>
          </w:p>
        </w:tc>
      </w:tr>
      <w:tr w:rsidR="00CE2445" w:rsidRPr="00CE2445" w14:paraId="570D2BF5"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65B56FB3" w14:textId="77777777" w:rsidR="00CE2445" w:rsidRPr="00CE2445" w:rsidRDefault="00CE2445" w:rsidP="00435411">
            <w:pPr>
              <w:rPr>
                <w:color w:val="000000"/>
                <w:sz w:val="20"/>
                <w:szCs w:val="20"/>
              </w:rPr>
            </w:pPr>
            <w:r w:rsidRPr="00CE2445">
              <w:rPr>
                <w:color w:val="000000"/>
                <w:sz w:val="20"/>
                <w:szCs w:val="20"/>
              </w:rPr>
              <w:t xml:space="preserve">     Precio Promedio (dólares/barril)</w:t>
            </w:r>
          </w:p>
        </w:tc>
        <w:tc>
          <w:tcPr>
            <w:tcW w:w="957" w:type="dxa"/>
            <w:tcBorders>
              <w:top w:val="nil"/>
              <w:left w:val="nil"/>
              <w:bottom w:val="nil"/>
              <w:right w:val="nil"/>
            </w:tcBorders>
            <w:shd w:val="clear" w:color="000000" w:fill="F2F2F2"/>
            <w:noWrap/>
            <w:vAlign w:val="bottom"/>
            <w:hideMark/>
          </w:tcPr>
          <w:p w14:paraId="7C8B0003" w14:textId="77777777" w:rsidR="00CE2445" w:rsidRPr="00CE2445" w:rsidRDefault="00CE2445" w:rsidP="00435411">
            <w:pPr>
              <w:jc w:val="right"/>
              <w:rPr>
                <w:color w:val="000000"/>
                <w:sz w:val="20"/>
                <w:szCs w:val="20"/>
              </w:rPr>
            </w:pPr>
            <w:r w:rsidRPr="00CE2445">
              <w:rPr>
                <w:color w:val="000000"/>
                <w:sz w:val="20"/>
                <w:szCs w:val="20"/>
              </w:rPr>
              <w:t>71.3</w:t>
            </w:r>
          </w:p>
        </w:tc>
        <w:tc>
          <w:tcPr>
            <w:tcW w:w="1117" w:type="dxa"/>
            <w:tcBorders>
              <w:top w:val="nil"/>
              <w:left w:val="nil"/>
              <w:bottom w:val="nil"/>
              <w:right w:val="nil"/>
            </w:tcBorders>
            <w:shd w:val="clear" w:color="000000" w:fill="F2F2F2"/>
            <w:noWrap/>
            <w:vAlign w:val="bottom"/>
            <w:hideMark/>
          </w:tcPr>
          <w:p w14:paraId="7B8C790F" w14:textId="77777777" w:rsidR="00CE2445" w:rsidRPr="00CE2445" w:rsidRDefault="00CE2445" w:rsidP="00435411">
            <w:pPr>
              <w:jc w:val="right"/>
              <w:rPr>
                <w:color w:val="000000"/>
                <w:sz w:val="20"/>
                <w:szCs w:val="20"/>
              </w:rPr>
            </w:pPr>
            <w:r w:rsidRPr="00CE2445">
              <w:rPr>
                <w:color w:val="000000"/>
                <w:sz w:val="20"/>
                <w:szCs w:val="20"/>
              </w:rPr>
              <w:t>58.4</w:t>
            </w:r>
          </w:p>
        </w:tc>
      </w:tr>
      <w:tr w:rsidR="00CE2445" w:rsidRPr="00CE2445" w14:paraId="15163571"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2F5C4B6B" w14:textId="77777777" w:rsidR="00CE2445" w:rsidRPr="00CE2445" w:rsidRDefault="00CE2445" w:rsidP="00435411">
            <w:pPr>
              <w:rPr>
                <w:color w:val="000000"/>
                <w:sz w:val="20"/>
                <w:szCs w:val="20"/>
              </w:rPr>
            </w:pPr>
            <w:r w:rsidRPr="00CE2445">
              <w:rPr>
                <w:color w:val="000000"/>
                <w:sz w:val="20"/>
                <w:szCs w:val="20"/>
              </w:rPr>
              <w:t xml:space="preserve">     Plataforma de producción crudo total (</w:t>
            </w:r>
            <w:proofErr w:type="spellStart"/>
            <w:r w:rsidRPr="00CE2445">
              <w:rPr>
                <w:color w:val="000000"/>
                <w:sz w:val="20"/>
                <w:szCs w:val="20"/>
              </w:rPr>
              <w:t>mbd</w:t>
            </w:r>
            <w:proofErr w:type="spellEnd"/>
            <w:r w:rsidRPr="00CE2445">
              <w:rPr>
                <w:color w:val="000000"/>
                <w:sz w:val="20"/>
                <w:szCs w:val="20"/>
              </w:rPr>
              <w:t xml:space="preserve">) </w:t>
            </w:r>
          </w:p>
        </w:tc>
        <w:tc>
          <w:tcPr>
            <w:tcW w:w="957" w:type="dxa"/>
            <w:tcBorders>
              <w:top w:val="nil"/>
              <w:left w:val="nil"/>
              <w:bottom w:val="nil"/>
              <w:right w:val="nil"/>
            </w:tcBorders>
            <w:shd w:val="clear" w:color="auto" w:fill="auto"/>
            <w:noWrap/>
            <w:vAlign w:val="bottom"/>
            <w:hideMark/>
          </w:tcPr>
          <w:p w14:paraId="02C6138D" w14:textId="77777777" w:rsidR="00CE2445" w:rsidRPr="00CE2445" w:rsidRDefault="00CE2445" w:rsidP="00435411">
            <w:pPr>
              <w:jc w:val="right"/>
              <w:rPr>
                <w:color w:val="000000"/>
                <w:sz w:val="20"/>
                <w:szCs w:val="20"/>
              </w:rPr>
            </w:pPr>
            <w:r w:rsidRPr="00CE2445">
              <w:rPr>
                <w:color w:val="000000"/>
                <w:sz w:val="20"/>
                <w:szCs w:val="20"/>
              </w:rPr>
              <w:t>1,852.00</w:t>
            </w:r>
          </w:p>
        </w:tc>
        <w:tc>
          <w:tcPr>
            <w:tcW w:w="1117" w:type="dxa"/>
            <w:tcBorders>
              <w:top w:val="nil"/>
              <w:left w:val="nil"/>
              <w:bottom w:val="nil"/>
              <w:right w:val="nil"/>
            </w:tcBorders>
            <w:shd w:val="clear" w:color="auto" w:fill="auto"/>
            <w:noWrap/>
            <w:vAlign w:val="bottom"/>
            <w:hideMark/>
          </w:tcPr>
          <w:p w14:paraId="03E8CD3C" w14:textId="77777777" w:rsidR="00CE2445" w:rsidRPr="00CE2445" w:rsidRDefault="00CE2445" w:rsidP="00435411">
            <w:pPr>
              <w:jc w:val="right"/>
              <w:rPr>
                <w:color w:val="000000"/>
                <w:sz w:val="20"/>
                <w:szCs w:val="20"/>
              </w:rPr>
            </w:pPr>
            <w:r w:rsidRPr="00CE2445">
              <w:rPr>
                <w:color w:val="000000"/>
                <w:sz w:val="20"/>
                <w:szCs w:val="20"/>
              </w:rPr>
              <w:t>1,863.10</w:t>
            </w:r>
          </w:p>
        </w:tc>
      </w:tr>
      <w:tr w:rsidR="00CE2445" w:rsidRPr="00CE2445" w14:paraId="4BAFC753" w14:textId="77777777" w:rsidTr="00435411">
        <w:trPr>
          <w:trHeight w:val="300"/>
          <w:jc w:val="center"/>
        </w:trPr>
        <w:tc>
          <w:tcPr>
            <w:tcW w:w="4646" w:type="dxa"/>
            <w:tcBorders>
              <w:top w:val="nil"/>
              <w:left w:val="nil"/>
              <w:bottom w:val="nil"/>
              <w:right w:val="nil"/>
            </w:tcBorders>
            <w:shd w:val="clear" w:color="000000" w:fill="F2F2F2"/>
            <w:noWrap/>
            <w:vAlign w:val="bottom"/>
            <w:hideMark/>
          </w:tcPr>
          <w:p w14:paraId="100CF4D4" w14:textId="77777777" w:rsidR="00CE2445" w:rsidRPr="00CE2445" w:rsidRDefault="00CE2445" w:rsidP="00435411">
            <w:pPr>
              <w:rPr>
                <w:color w:val="000000"/>
                <w:sz w:val="20"/>
                <w:szCs w:val="20"/>
              </w:rPr>
            </w:pPr>
            <w:r w:rsidRPr="00CE2445">
              <w:rPr>
                <w:color w:val="000000"/>
                <w:sz w:val="20"/>
                <w:szCs w:val="20"/>
              </w:rPr>
              <w:t xml:space="preserve">     Plataforma de exportación de crudo (</w:t>
            </w:r>
            <w:proofErr w:type="spellStart"/>
            <w:r w:rsidRPr="00CE2445">
              <w:rPr>
                <w:color w:val="000000"/>
                <w:sz w:val="20"/>
                <w:szCs w:val="20"/>
              </w:rPr>
              <w:t>mbd</w:t>
            </w:r>
            <w:proofErr w:type="spellEnd"/>
            <w:r w:rsidRPr="00CE2445">
              <w:rPr>
                <w:color w:val="000000"/>
                <w:sz w:val="20"/>
                <w:szCs w:val="20"/>
              </w:rPr>
              <w:t xml:space="preserve">) </w:t>
            </w:r>
          </w:p>
        </w:tc>
        <w:tc>
          <w:tcPr>
            <w:tcW w:w="957" w:type="dxa"/>
            <w:tcBorders>
              <w:top w:val="nil"/>
              <w:left w:val="nil"/>
              <w:bottom w:val="nil"/>
              <w:right w:val="nil"/>
            </w:tcBorders>
            <w:shd w:val="clear" w:color="000000" w:fill="F2F2F2"/>
            <w:noWrap/>
            <w:vAlign w:val="bottom"/>
            <w:hideMark/>
          </w:tcPr>
          <w:p w14:paraId="5C1929DD" w14:textId="77777777" w:rsidR="00CE2445" w:rsidRPr="00CE2445" w:rsidRDefault="00CE2445" w:rsidP="00435411">
            <w:pPr>
              <w:jc w:val="right"/>
              <w:rPr>
                <w:color w:val="000000"/>
                <w:sz w:val="20"/>
                <w:szCs w:val="20"/>
              </w:rPr>
            </w:pPr>
            <w:r w:rsidRPr="00CE2445">
              <w:rPr>
                <w:color w:val="000000"/>
                <w:sz w:val="20"/>
                <w:szCs w:val="20"/>
              </w:rPr>
              <w:t>967.6</w:t>
            </w:r>
          </w:p>
        </w:tc>
        <w:tc>
          <w:tcPr>
            <w:tcW w:w="1117" w:type="dxa"/>
            <w:tcBorders>
              <w:top w:val="nil"/>
              <w:left w:val="nil"/>
              <w:bottom w:val="nil"/>
              <w:right w:val="nil"/>
            </w:tcBorders>
            <w:shd w:val="clear" w:color="000000" w:fill="F2F2F2"/>
            <w:noWrap/>
            <w:vAlign w:val="bottom"/>
            <w:hideMark/>
          </w:tcPr>
          <w:p w14:paraId="4C67F85C" w14:textId="77777777" w:rsidR="00CE2445" w:rsidRPr="00CE2445" w:rsidRDefault="00CE2445" w:rsidP="00435411">
            <w:pPr>
              <w:jc w:val="right"/>
              <w:rPr>
                <w:color w:val="000000"/>
                <w:sz w:val="20"/>
                <w:szCs w:val="20"/>
              </w:rPr>
            </w:pPr>
            <w:r w:rsidRPr="00CE2445">
              <w:rPr>
                <w:color w:val="000000"/>
                <w:sz w:val="20"/>
                <w:szCs w:val="20"/>
              </w:rPr>
              <w:t>958.4</w:t>
            </w:r>
          </w:p>
        </w:tc>
      </w:tr>
      <w:tr w:rsidR="00CE2445" w:rsidRPr="00CE2445" w14:paraId="1C2B97CF"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317E9631" w14:textId="77777777" w:rsidR="00CE2445" w:rsidRPr="00CE2445" w:rsidRDefault="00CE2445" w:rsidP="00435411">
            <w:pPr>
              <w:rPr>
                <w:color w:val="000000"/>
                <w:sz w:val="20"/>
                <w:szCs w:val="20"/>
              </w:rPr>
            </w:pPr>
            <w:r w:rsidRPr="00CE2445">
              <w:rPr>
                <w:color w:val="000000"/>
                <w:sz w:val="20"/>
                <w:szCs w:val="20"/>
              </w:rPr>
              <w:t>Gas natural</w:t>
            </w:r>
          </w:p>
        </w:tc>
        <w:tc>
          <w:tcPr>
            <w:tcW w:w="957" w:type="dxa"/>
            <w:tcBorders>
              <w:top w:val="nil"/>
              <w:left w:val="nil"/>
              <w:bottom w:val="nil"/>
              <w:right w:val="nil"/>
            </w:tcBorders>
            <w:shd w:val="clear" w:color="auto" w:fill="auto"/>
            <w:noWrap/>
            <w:vAlign w:val="bottom"/>
            <w:hideMark/>
          </w:tcPr>
          <w:p w14:paraId="6054A3E0" w14:textId="77777777" w:rsidR="00CE2445" w:rsidRPr="00CE2445" w:rsidRDefault="00CE2445" w:rsidP="00435411">
            <w:pPr>
              <w:rPr>
                <w:color w:val="000000"/>
                <w:sz w:val="20"/>
                <w:szCs w:val="20"/>
              </w:rPr>
            </w:pPr>
          </w:p>
        </w:tc>
        <w:tc>
          <w:tcPr>
            <w:tcW w:w="1117" w:type="dxa"/>
            <w:tcBorders>
              <w:top w:val="nil"/>
              <w:left w:val="nil"/>
              <w:bottom w:val="nil"/>
              <w:right w:val="nil"/>
            </w:tcBorders>
            <w:shd w:val="clear" w:color="auto" w:fill="auto"/>
            <w:noWrap/>
            <w:vAlign w:val="bottom"/>
            <w:hideMark/>
          </w:tcPr>
          <w:p w14:paraId="2A1FAC8E" w14:textId="77777777" w:rsidR="00CE2445" w:rsidRPr="00CE2445" w:rsidRDefault="00CE2445" w:rsidP="00435411">
            <w:pPr>
              <w:rPr>
                <w:sz w:val="20"/>
                <w:szCs w:val="20"/>
              </w:rPr>
            </w:pPr>
          </w:p>
        </w:tc>
      </w:tr>
      <w:tr w:rsidR="00CE2445" w:rsidRPr="00CE2445" w14:paraId="57479716" w14:textId="77777777" w:rsidTr="00435411">
        <w:trPr>
          <w:trHeight w:val="300"/>
          <w:jc w:val="center"/>
        </w:trPr>
        <w:tc>
          <w:tcPr>
            <w:tcW w:w="4646" w:type="dxa"/>
            <w:tcBorders>
              <w:top w:val="nil"/>
              <w:left w:val="nil"/>
              <w:bottom w:val="single" w:sz="4" w:space="0" w:color="auto"/>
              <w:right w:val="nil"/>
            </w:tcBorders>
            <w:shd w:val="clear" w:color="000000" w:fill="F2F2F2"/>
            <w:noWrap/>
            <w:vAlign w:val="bottom"/>
            <w:hideMark/>
          </w:tcPr>
          <w:p w14:paraId="4F6B99F8" w14:textId="77777777" w:rsidR="00CE2445" w:rsidRPr="00CE2445" w:rsidRDefault="00CE2445" w:rsidP="00435411">
            <w:pPr>
              <w:rPr>
                <w:color w:val="000000"/>
                <w:sz w:val="20"/>
                <w:szCs w:val="20"/>
              </w:rPr>
            </w:pPr>
            <w:r w:rsidRPr="00CE2445">
              <w:rPr>
                <w:color w:val="000000"/>
                <w:sz w:val="20"/>
                <w:szCs w:val="20"/>
              </w:rPr>
              <w:t>Precio Promedio (dólares/</w:t>
            </w:r>
            <w:proofErr w:type="spellStart"/>
            <w:r w:rsidRPr="00CE2445">
              <w:rPr>
                <w:color w:val="000000"/>
                <w:sz w:val="20"/>
                <w:szCs w:val="20"/>
              </w:rPr>
              <w:t>MMBtu</w:t>
            </w:r>
            <w:proofErr w:type="spellEnd"/>
            <w:r w:rsidRPr="00CE2445">
              <w:rPr>
                <w:color w:val="000000"/>
                <w:sz w:val="20"/>
                <w:szCs w:val="20"/>
              </w:rPr>
              <w:t>)</w:t>
            </w:r>
          </w:p>
        </w:tc>
        <w:tc>
          <w:tcPr>
            <w:tcW w:w="957" w:type="dxa"/>
            <w:tcBorders>
              <w:top w:val="nil"/>
              <w:left w:val="nil"/>
              <w:bottom w:val="single" w:sz="4" w:space="0" w:color="auto"/>
              <w:right w:val="nil"/>
            </w:tcBorders>
            <w:shd w:val="clear" w:color="000000" w:fill="F2F2F2"/>
            <w:noWrap/>
            <w:vAlign w:val="bottom"/>
            <w:hideMark/>
          </w:tcPr>
          <w:p w14:paraId="6DFE9AA7" w14:textId="77777777" w:rsidR="00CE2445" w:rsidRPr="00CE2445" w:rsidRDefault="00CE2445" w:rsidP="00435411">
            <w:pPr>
              <w:jc w:val="right"/>
              <w:rPr>
                <w:color w:val="000000"/>
                <w:sz w:val="20"/>
                <w:szCs w:val="20"/>
              </w:rPr>
            </w:pPr>
            <w:r w:rsidRPr="00CE2445">
              <w:rPr>
                <w:color w:val="000000"/>
                <w:sz w:val="20"/>
                <w:szCs w:val="20"/>
              </w:rPr>
              <w:t>2.4</w:t>
            </w:r>
          </w:p>
        </w:tc>
        <w:tc>
          <w:tcPr>
            <w:tcW w:w="1117" w:type="dxa"/>
            <w:tcBorders>
              <w:top w:val="nil"/>
              <w:left w:val="nil"/>
              <w:bottom w:val="single" w:sz="4" w:space="0" w:color="auto"/>
              <w:right w:val="nil"/>
            </w:tcBorders>
            <w:shd w:val="clear" w:color="000000" w:fill="F2F2F2"/>
            <w:noWrap/>
            <w:vAlign w:val="bottom"/>
            <w:hideMark/>
          </w:tcPr>
          <w:p w14:paraId="5B7FF785" w14:textId="77777777" w:rsidR="00CE2445" w:rsidRPr="00CE2445" w:rsidRDefault="00CE2445" w:rsidP="00435411">
            <w:pPr>
              <w:jc w:val="right"/>
              <w:rPr>
                <w:color w:val="000000"/>
                <w:sz w:val="20"/>
                <w:szCs w:val="20"/>
              </w:rPr>
            </w:pPr>
            <w:r w:rsidRPr="00CE2445">
              <w:rPr>
                <w:color w:val="000000"/>
                <w:sz w:val="20"/>
                <w:szCs w:val="20"/>
              </w:rPr>
              <w:t>3.5</w:t>
            </w:r>
          </w:p>
        </w:tc>
      </w:tr>
      <w:tr w:rsidR="00CE2445" w:rsidRPr="00CE2445" w14:paraId="439E2261"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707C04CD" w14:textId="77777777" w:rsidR="00CE2445" w:rsidRPr="00CE2445" w:rsidRDefault="00CE2445" w:rsidP="00435411">
            <w:pPr>
              <w:rPr>
                <w:color w:val="000000"/>
                <w:sz w:val="20"/>
                <w:szCs w:val="20"/>
              </w:rPr>
            </w:pPr>
            <w:r w:rsidRPr="00CE2445">
              <w:rPr>
                <w:color w:val="000000"/>
                <w:sz w:val="20"/>
                <w:szCs w:val="20"/>
              </w:rPr>
              <w:t xml:space="preserve">e/ Estimado. </w:t>
            </w:r>
          </w:p>
        </w:tc>
        <w:tc>
          <w:tcPr>
            <w:tcW w:w="957" w:type="dxa"/>
            <w:tcBorders>
              <w:top w:val="nil"/>
              <w:left w:val="nil"/>
              <w:bottom w:val="nil"/>
              <w:right w:val="nil"/>
            </w:tcBorders>
            <w:shd w:val="clear" w:color="auto" w:fill="auto"/>
            <w:noWrap/>
            <w:vAlign w:val="bottom"/>
            <w:hideMark/>
          </w:tcPr>
          <w:p w14:paraId="60D11632" w14:textId="77777777" w:rsidR="00CE2445" w:rsidRPr="00CE2445" w:rsidRDefault="00CE2445" w:rsidP="00435411">
            <w:pPr>
              <w:rPr>
                <w:color w:val="000000"/>
                <w:sz w:val="20"/>
                <w:szCs w:val="20"/>
              </w:rPr>
            </w:pPr>
          </w:p>
        </w:tc>
        <w:tc>
          <w:tcPr>
            <w:tcW w:w="1117" w:type="dxa"/>
            <w:tcBorders>
              <w:top w:val="nil"/>
              <w:left w:val="nil"/>
              <w:bottom w:val="nil"/>
              <w:right w:val="nil"/>
            </w:tcBorders>
            <w:shd w:val="clear" w:color="auto" w:fill="auto"/>
            <w:noWrap/>
            <w:vAlign w:val="bottom"/>
            <w:hideMark/>
          </w:tcPr>
          <w:p w14:paraId="504D6164" w14:textId="77777777" w:rsidR="00CE2445" w:rsidRPr="00CE2445" w:rsidRDefault="00CE2445" w:rsidP="00435411">
            <w:pPr>
              <w:rPr>
                <w:sz w:val="20"/>
                <w:szCs w:val="20"/>
              </w:rPr>
            </w:pPr>
          </w:p>
        </w:tc>
      </w:tr>
      <w:tr w:rsidR="00CE2445" w:rsidRPr="00CE2445" w14:paraId="328309B6" w14:textId="77777777" w:rsidTr="00435411">
        <w:trPr>
          <w:trHeight w:val="300"/>
          <w:jc w:val="center"/>
        </w:trPr>
        <w:tc>
          <w:tcPr>
            <w:tcW w:w="4646" w:type="dxa"/>
            <w:tcBorders>
              <w:top w:val="nil"/>
              <w:left w:val="nil"/>
              <w:bottom w:val="nil"/>
              <w:right w:val="nil"/>
            </w:tcBorders>
            <w:shd w:val="clear" w:color="auto" w:fill="auto"/>
            <w:noWrap/>
            <w:vAlign w:val="bottom"/>
            <w:hideMark/>
          </w:tcPr>
          <w:p w14:paraId="2499B00B" w14:textId="77777777" w:rsidR="00CE2445" w:rsidRPr="00CE2445" w:rsidRDefault="00CE2445" w:rsidP="00435411">
            <w:pPr>
              <w:rPr>
                <w:color w:val="000000"/>
                <w:sz w:val="20"/>
                <w:szCs w:val="20"/>
              </w:rPr>
            </w:pPr>
            <w:r w:rsidRPr="00CE2445">
              <w:rPr>
                <w:color w:val="000000"/>
                <w:sz w:val="20"/>
                <w:szCs w:val="20"/>
              </w:rPr>
              <w:t xml:space="preserve">Fuente: SHCP. </w:t>
            </w:r>
          </w:p>
        </w:tc>
        <w:tc>
          <w:tcPr>
            <w:tcW w:w="957" w:type="dxa"/>
            <w:tcBorders>
              <w:top w:val="nil"/>
              <w:left w:val="nil"/>
              <w:bottom w:val="nil"/>
              <w:right w:val="nil"/>
            </w:tcBorders>
            <w:shd w:val="clear" w:color="auto" w:fill="auto"/>
            <w:noWrap/>
            <w:vAlign w:val="bottom"/>
            <w:hideMark/>
          </w:tcPr>
          <w:p w14:paraId="37035071" w14:textId="77777777" w:rsidR="00CE2445" w:rsidRPr="00CE2445" w:rsidRDefault="00CE2445" w:rsidP="00435411">
            <w:pPr>
              <w:rPr>
                <w:color w:val="000000"/>
                <w:sz w:val="20"/>
                <w:szCs w:val="20"/>
              </w:rPr>
            </w:pPr>
          </w:p>
        </w:tc>
        <w:tc>
          <w:tcPr>
            <w:tcW w:w="1117" w:type="dxa"/>
            <w:tcBorders>
              <w:top w:val="nil"/>
              <w:left w:val="nil"/>
              <w:bottom w:val="nil"/>
              <w:right w:val="nil"/>
            </w:tcBorders>
            <w:shd w:val="clear" w:color="auto" w:fill="auto"/>
            <w:noWrap/>
            <w:vAlign w:val="bottom"/>
            <w:hideMark/>
          </w:tcPr>
          <w:p w14:paraId="1531CC9B" w14:textId="77777777" w:rsidR="00CE2445" w:rsidRPr="00CE2445" w:rsidRDefault="00CE2445" w:rsidP="00435411">
            <w:pPr>
              <w:rPr>
                <w:sz w:val="20"/>
                <w:szCs w:val="20"/>
              </w:rPr>
            </w:pPr>
          </w:p>
        </w:tc>
      </w:tr>
    </w:tbl>
    <w:p w14:paraId="681855D2" w14:textId="77777777" w:rsidR="00CE2445" w:rsidRPr="00CE2445" w:rsidRDefault="00CE2445" w:rsidP="00CE2445">
      <w:pPr>
        <w:pStyle w:val="PRIMERAPLANA"/>
        <w:spacing w:line="360" w:lineRule="auto"/>
        <w:rPr>
          <w:rFonts w:ascii="Times New Roman" w:hAnsi="Times New Roman"/>
          <w:bCs/>
          <w:lang w:val="es-MX"/>
        </w:rPr>
      </w:pPr>
    </w:p>
    <w:p w14:paraId="08A136CE"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Se estima que durante el periodo de 2025 a 2029 el PIB de México crecerá en un rango entre 2.0 y 3.0% anual promedio. Estas estimaciones se encuentran en línea con las estimaciones del PIB potencial establecidas en el art. 11 C del Reglamento de la LFPRH, así como con los datos observados de crecimiento poblacional, años de escolaridad promedio, participación laboral, inversión privada en maquinaria y equipo, e inversión no residencial, pública y privada.</w:t>
      </w:r>
    </w:p>
    <w:p w14:paraId="2BC02453" w14:textId="77777777" w:rsidR="00CE2445" w:rsidRPr="00CE2445" w:rsidRDefault="00CE2445" w:rsidP="00CE2445">
      <w:pPr>
        <w:pStyle w:val="PRIMERAPLANA"/>
        <w:spacing w:line="360" w:lineRule="auto"/>
        <w:rPr>
          <w:rFonts w:ascii="Times New Roman" w:hAnsi="Times New Roman"/>
          <w:bCs/>
          <w:lang w:val="es-MX"/>
        </w:rPr>
      </w:pPr>
    </w:p>
    <w:p w14:paraId="053E536E"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 xml:space="preserve">Se pronostica que en el periodo 2026 a 2029 la inflación sea consistente con el objetivo del Banco de México de 3.0% anual; para 2025 se anticipa una tasa de 3.3% anual, 0.3 </w:t>
      </w:r>
      <w:proofErr w:type="spellStart"/>
      <w:r w:rsidRPr="00CE2445">
        <w:rPr>
          <w:rFonts w:ascii="Times New Roman" w:hAnsi="Times New Roman"/>
          <w:bCs/>
          <w:lang w:val="es-MX"/>
        </w:rPr>
        <w:t>pp</w:t>
      </w:r>
      <w:proofErr w:type="spellEnd"/>
      <w:r w:rsidRPr="00CE2445">
        <w:rPr>
          <w:rFonts w:ascii="Times New Roman" w:hAnsi="Times New Roman"/>
          <w:bCs/>
          <w:lang w:val="es-MX"/>
        </w:rPr>
        <w:t xml:space="preserve"> por arriba de lo anticipado en el programa, con lo que la tasa de Cetes a 28 días se ubicaría en 7.0% en promedio y a partir de 2026 se encuentre en un nivel de equilibrio de 5.5%. </w:t>
      </w:r>
    </w:p>
    <w:p w14:paraId="43135D2E" w14:textId="77777777" w:rsidR="00CE2445" w:rsidRPr="00CE2445" w:rsidRDefault="00CE2445" w:rsidP="00CE2445">
      <w:pPr>
        <w:pStyle w:val="PRIMERAPLANA"/>
        <w:spacing w:line="360" w:lineRule="auto"/>
        <w:rPr>
          <w:rFonts w:ascii="Times New Roman" w:hAnsi="Times New Roman"/>
          <w:bCs/>
          <w:lang w:val="es-MX"/>
        </w:rPr>
      </w:pPr>
    </w:p>
    <w:p w14:paraId="58EA8CB8" w14:textId="3E1CB37E"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lastRenderedPageBreak/>
        <w:t xml:space="preserve">Por su parte, el tipo de cambio registrará una ligera depreciación que es congruente con el tipo de cambio real y la inflación de mediano plazo de </w:t>
      </w:r>
      <w:proofErr w:type="spellStart"/>
      <w:r w:rsidRPr="00CE2445">
        <w:rPr>
          <w:rFonts w:ascii="Times New Roman" w:hAnsi="Times New Roman"/>
          <w:bCs/>
          <w:lang w:val="es-MX"/>
        </w:rPr>
        <w:t>E</w:t>
      </w:r>
      <w:r w:rsidR="00172C2E">
        <w:rPr>
          <w:rFonts w:ascii="Times New Roman" w:hAnsi="Times New Roman"/>
          <w:bCs/>
          <w:lang w:val="es-MX"/>
        </w:rPr>
        <w:t>.E</w:t>
      </w:r>
      <w:r w:rsidRPr="00CE2445">
        <w:rPr>
          <w:rFonts w:ascii="Times New Roman" w:hAnsi="Times New Roman"/>
          <w:bCs/>
          <w:lang w:val="es-MX"/>
        </w:rPr>
        <w:t>.U.</w:t>
      </w:r>
      <w:r w:rsidR="00172C2E">
        <w:rPr>
          <w:rFonts w:ascii="Times New Roman" w:hAnsi="Times New Roman"/>
          <w:bCs/>
          <w:lang w:val="es-MX"/>
        </w:rPr>
        <w:t>U</w:t>
      </w:r>
      <w:proofErr w:type="spellEnd"/>
      <w:r w:rsidRPr="00CE2445">
        <w:rPr>
          <w:rFonts w:ascii="Times New Roman" w:hAnsi="Times New Roman"/>
          <w:bCs/>
          <w:lang w:val="es-MX"/>
        </w:rPr>
        <w:t>. Además, durante el periodo proyectado, las cuentas externas se mantendrán en niveles sostenibles por lo que el déficit de la cuenta corriente de la balanza de pagos en 2025 se estima en 0.3% y en el periodo de 2026 a 2029 será de 1.0% del PIB en promedio.</w:t>
      </w:r>
    </w:p>
    <w:p w14:paraId="392554F9" w14:textId="77777777" w:rsidR="00CE2445" w:rsidRPr="00CE2445" w:rsidRDefault="00CE2445" w:rsidP="00CE2445">
      <w:pPr>
        <w:pStyle w:val="PRIMERAPLANA"/>
        <w:spacing w:line="360" w:lineRule="auto"/>
        <w:rPr>
          <w:rFonts w:ascii="Times New Roman" w:hAnsi="Times New Roman"/>
          <w:bCs/>
          <w:lang w:val="es-MX"/>
        </w:rPr>
      </w:pPr>
    </w:p>
    <w:p w14:paraId="68399E09"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Se prevé que para 2025, el precio de la MME sea de 58.4 dpb y un precio promedio de 47.2 dpb en el periodo de 2026 a 2029, el cual es consistente con la dinámica que muestra la curva de futuros en el mes de agosto de 2023. Mientras que, se supone que la plataforma de producción de crudo tendrá una trayectoria de crecimiento moderado en un contexto de maduración de campos petroleros y de nuevos proyectos de exploración que pudieran dar resultados hacia el final del periodo proyectado.</w:t>
      </w:r>
    </w:p>
    <w:p w14:paraId="0570A759" w14:textId="77777777" w:rsidR="00CE2445" w:rsidRPr="00CE2445" w:rsidRDefault="00CE2445" w:rsidP="00CE2445">
      <w:pPr>
        <w:pStyle w:val="PRIMERAPLANA"/>
        <w:spacing w:line="360" w:lineRule="auto"/>
        <w:rPr>
          <w:rFonts w:ascii="Times New Roman" w:hAnsi="Times New Roman"/>
          <w:bCs/>
          <w:lang w:val="es-MX"/>
        </w:rPr>
      </w:pPr>
    </w:p>
    <w:p w14:paraId="4DD0C045" w14:textId="77777777" w:rsidR="00CE2445" w:rsidRPr="00CE2445" w:rsidRDefault="00CE2445" w:rsidP="00D50246">
      <w:pPr>
        <w:pStyle w:val="PRIMERAPLANA"/>
        <w:numPr>
          <w:ilvl w:val="0"/>
          <w:numId w:val="16"/>
        </w:numPr>
        <w:spacing w:line="360" w:lineRule="auto"/>
        <w:ind w:left="426" w:hanging="426"/>
        <w:rPr>
          <w:rFonts w:ascii="Times New Roman" w:hAnsi="Times New Roman"/>
          <w:b/>
          <w:lang w:val="es-MX"/>
        </w:rPr>
      </w:pPr>
      <w:r w:rsidRPr="00CE2445">
        <w:rPr>
          <w:rFonts w:ascii="Times New Roman" w:hAnsi="Times New Roman"/>
          <w:b/>
          <w:lang w:val="es-MX"/>
        </w:rPr>
        <w:t>ENTORNO ECONÓMICO LOCAL</w:t>
      </w:r>
    </w:p>
    <w:p w14:paraId="5C6D0715" w14:textId="77777777" w:rsidR="00CE2445" w:rsidRPr="00CE2445" w:rsidRDefault="00CE2445" w:rsidP="00CE2445">
      <w:pPr>
        <w:pStyle w:val="PRIMERAPLANA"/>
        <w:spacing w:line="360" w:lineRule="auto"/>
        <w:rPr>
          <w:rFonts w:ascii="Times New Roman" w:hAnsi="Times New Roman"/>
          <w:bCs/>
          <w:lang w:val="es-MX"/>
        </w:rPr>
      </w:pPr>
    </w:p>
    <w:p w14:paraId="5DB59FAC"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 xml:space="preserve">Tlaxcala tiene una localización geográfica estratégica al encontrarse en la región centro del país, integrada por los Estados de Guanajuato, Hidalgo, Morelos, Puebla, Querétaro, Ciudad de México y Estado de México; colindando con Hidalgo, Puebla y el Estado de México. Una parte de los Municipios de la Entidad se integran a las zonas metropolitanas de Tlaxcala-Apizaco y Puebla-Tlaxcala, por lo que la presencia de estas ciudades es </w:t>
      </w:r>
      <w:proofErr w:type="gramStart"/>
      <w:r w:rsidRPr="00CE2445">
        <w:rPr>
          <w:rFonts w:ascii="Times New Roman" w:hAnsi="Times New Roman"/>
          <w:iCs/>
          <w:lang w:val="es-MX"/>
        </w:rPr>
        <w:t>indicativo</w:t>
      </w:r>
      <w:proofErr w:type="gramEnd"/>
      <w:r w:rsidRPr="00CE2445">
        <w:rPr>
          <w:rFonts w:ascii="Times New Roman" w:hAnsi="Times New Roman"/>
          <w:iCs/>
          <w:lang w:val="es-MX"/>
        </w:rPr>
        <w:t xml:space="preserve"> de una participación importante en actividades comerciales y de servicios orientados al consumidor.</w:t>
      </w:r>
    </w:p>
    <w:p w14:paraId="1BBB6AAB" w14:textId="77777777" w:rsidR="00CE2445" w:rsidRPr="00CE2445" w:rsidRDefault="00CE2445" w:rsidP="00CE2445">
      <w:pPr>
        <w:pStyle w:val="PRIMERAPLANA"/>
        <w:spacing w:line="360" w:lineRule="auto"/>
        <w:rPr>
          <w:rFonts w:ascii="Times New Roman" w:hAnsi="Times New Roman"/>
          <w:iCs/>
          <w:lang w:val="es-MX"/>
        </w:rPr>
      </w:pPr>
    </w:p>
    <w:p w14:paraId="7FF7EC26" w14:textId="0464A4C3"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 xml:space="preserve">En 2020, la población en Tlaxcala fue de 1,342,977 habitantes (48.4% hombres y 51.6% mujeres). En comparación a 2010, la población en Tlaxcala creció un 14.8%. Las ventas internacionales de Tlaxcala en 2023 decrecieron un 0.74% respecto al año anterior. Los productos con mayor nivel de ventas internacionales en 2023 fueron </w:t>
      </w:r>
      <w:r w:rsidR="00172C2E" w:rsidRPr="00CE2445">
        <w:rPr>
          <w:rFonts w:ascii="Times New Roman" w:hAnsi="Times New Roman"/>
          <w:iCs/>
          <w:lang w:val="es-MX"/>
        </w:rPr>
        <w:t>asientos convertibles o no en camas y partes, fibra de vidrio, lana de vidrio y manufacturas de esta materia y partes y accesorios de vehículos automotores.</w:t>
      </w:r>
    </w:p>
    <w:p w14:paraId="652B5953" w14:textId="77777777" w:rsidR="00CE2445" w:rsidRPr="00CE2445" w:rsidRDefault="00CE2445" w:rsidP="00CE2445">
      <w:pPr>
        <w:pStyle w:val="PRIMERAPLANA"/>
        <w:spacing w:line="360" w:lineRule="auto"/>
        <w:rPr>
          <w:rFonts w:ascii="Times New Roman" w:hAnsi="Times New Roman"/>
          <w:iCs/>
          <w:highlight w:val="yellow"/>
          <w:lang w:val="es-MX"/>
        </w:rPr>
      </w:pPr>
    </w:p>
    <w:p w14:paraId="4B0EB82B"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Las compras internacionales de Tlaxcala en 2023 decrecieron un 5.61% respecto al año anterior. Los productos con mayor nivel de compras internacionales en 2023 fueron piezas para el uso de aparatos usados en protección de Circuitos eléctricos, con un voltaje superior a 1000V, tableros, paneles para control y distribución de electricidad, Bombas para líquidos y asientos convertibles o no en camas y partes.</w:t>
      </w:r>
    </w:p>
    <w:p w14:paraId="0EBC1C7F" w14:textId="77777777" w:rsidR="00CE2445" w:rsidRPr="00CE2445" w:rsidRDefault="00CE2445" w:rsidP="00CE2445">
      <w:pPr>
        <w:pStyle w:val="PRIMERAPLANA"/>
        <w:spacing w:line="360" w:lineRule="auto"/>
        <w:rPr>
          <w:rFonts w:ascii="Times New Roman" w:hAnsi="Times New Roman"/>
          <w:iCs/>
          <w:lang w:val="es-MX"/>
        </w:rPr>
      </w:pPr>
    </w:p>
    <w:p w14:paraId="619DE391"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lastRenderedPageBreak/>
        <w:t>En Tlaxcala, la estructura productiva del sector servicios tiene una gran variedad de actividades que han mostrado crecimiento y concentración, la industria automotriz es una de las principales actividades en el Estado, debiéndose en buena medida su dinamismo a que las empresas instaladas son proveedoras o distribuidoras de Volkswagen de México. En el sector terciario coexisten actividades de mayor dinamismo económico que responden al comportamiento nacional por sus vínculos a la producción, y una alta concentración en las zonas urbanas.</w:t>
      </w:r>
    </w:p>
    <w:p w14:paraId="01300AB2" w14:textId="77777777" w:rsidR="00CE2445" w:rsidRPr="00CE2445" w:rsidRDefault="00CE2445" w:rsidP="00CE2445">
      <w:pPr>
        <w:pStyle w:val="PRIMERAPLANA"/>
        <w:spacing w:line="360" w:lineRule="auto"/>
        <w:rPr>
          <w:rFonts w:ascii="Times New Roman" w:hAnsi="Times New Roman"/>
          <w:iCs/>
          <w:lang w:val="es-MX"/>
        </w:rPr>
      </w:pPr>
    </w:p>
    <w:p w14:paraId="2B16FA0D"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El Producto Interno Bruto Estatal (PIBE), al primer trimestre de 2024, observa una contracción significativa, respecto al cuarto trimestre de 2023, registrando un decrecimiento del 1.8%, derivado principalmente a un débil desempeño de la actividad en la industria automotriz por paros técnicos de algunas armadoras de la región, así como por la cautela para ampliar líneas de manufactura ante la incertidumbre asociada con el periodo electoral en México y Estados Unidos.</w:t>
      </w:r>
    </w:p>
    <w:p w14:paraId="2B837EB8" w14:textId="77777777" w:rsidR="00CE2445" w:rsidRPr="00CE2445" w:rsidRDefault="00CE2445" w:rsidP="00CE2445">
      <w:pPr>
        <w:pStyle w:val="PRIMERAPLANA"/>
        <w:spacing w:line="360" w:lineRule="auto"/>
        <w:rPr>
          <w:rFonts w:ascii="Times New Roman" w:hAnsi="Times New Roman"/>
          <w:iCs/>
          <w:lang w:val="es-MX"/>
        </w:rPr>
      </w:pPr>
    </w:p>
    <w:p w14:paraId="6EA12E72"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 xml:space="preserve">En la industria de productos y accesorios eléctricos, se observó una falta de inversión en infraestructura para la ampliación y mejora de la transmisión de energía eléctrica en el país. En la industria textil, disminuyó la producción de algodón de Pakistán y México limitando su disponibilidad, reduciendo con ello la confección de prendas. Adicionalmente, la demanda continuó siendo afectada por el ingreso de prendas chinas a precios subvaluados. </w:t>
      </w:r>
    </w:p>
    <w:p w14:paraId="387FCC8E" w14:textId="77777777" w:rsidR="00CE2445" w:rsidRPr="00CE2445" w:rsidRDefault="00CE2445" w:rsidP="00CE2445">
      <w:pPr>
        <w:pStyle w:val="PRIMERAPLANA"/>
        <w:spacing w:line="360" w:lineRule="auto"/>
        <w:rPr>
          <w:rFonts w:ascii="Times New Roman" w:hAnsi="Times New Roman"/>
          <w:iCs/>
          <w:lang w:val="es-MX"/>
        </w:rPr>
      </w:pPr>
    </w:p>
    <w:p w14:paraId="19D72C7E"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 xml:space="preserve">En el caso de la industria de equipo de generación eléctrica, se tuvo un menor volumen de actividad derivado de retrasos en pagos por parte de Pemex. A su vez, en la industria farmacéutica, observaron la ausencia de licitaciones para el surtido de medicamentos en el sector público federal. Otro elemento negativo adicional fue el paro en una planta armadora de la región ocurrido en el primer bimestre del año debido a demandas salariales. </w:t>
      </w:r>
    </w:p>
    <w:p w14:paraId="6ED2AD7F" w14:textId="77777777" w:rsidR="00CE2445" w:rsidRPr="00CE2445" w:rsidRDefault="00CE2445" w:rsidP="00CE2445">
      <w:pPr>
        <w:pStyle w:val="PRIMERAPLANA"/>
        <w:spacing w:line="360" w:lineRule="auto"/>
        <w:rPr>
          <w:rFonts w:ascii="Times New Roman" w:hAnsi="Times New Roman"/>
          <w:iCs/>
          <w:lang w:val="es-MX"/>
        </w:rPr>
      </w:pPr>
    </w:p>
    <w:p w14:paraId="2356C52B"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 xml:space="preserve">Los directivos empresariales de la industria automotriz en la región centro asociaron la evolución positiva de la actividad con mejoras en los tiempos de entrega de insumos y mayores requerimientos de autopartes para vehículos eléctricos en Estados Unidos. Por su parte, en el segmento de vehículos pesados, mencionaron la inversión en la renovación de camiones por parte de líneas nacionales de transportes de pasajeros. </w:t>
      </w:r>
    </w:p>
    <w:p w14:paraId="24BD57A8" w14:textId="77777777" w:rsidR="00C847DD" w:rsidRDefault="00C847DD" w:rsidP="00CE2445">
      <w:pPr>
        <w:pStyle w:val="PRIMERAPLANA"/>
        <w:spacing w:line="360" w:lineRule="auto"/>
        <w:rPr>
          <w:rFonts w:ascii="Times New Roman" w:hAnsi="Times New Roman"/>
          <w:iCs/>
          <w:lang w:val="es-MX"/>
        </w:rPr>
      </w:pPr>
    </w:p>
    <w:p w14:paraId="52D6C8FA"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 xml:space="preserve">En la industria de productos y accesorios eléctricos, resaltó el dinamismo de las exportaciones a Estados Unidos, derivado de los incentivos financieros para la transición energética que se realiza en ese país. Adicionalmente, se ha beneficiado la inversión en instalaciones eléctricas en parques industriales como </w:t>
      </w:r>
      <w:r w:rsidRPr="00CE2445">
        <w:rPr>
          <w:rFonts w:ascii="Times New Roman" w:hAnsi="Times New Roman"/>
          <w:iCs/>
          <w:lang w:val="es-MX"/>
        </w:rPr>
        <w:lastRenderedPageBreak/>
        <w:t>producto de la relocalización de nuevas empresas en el país. Dentro de la industria del papel, los contactos identificaron como elementos positivos el crecimiento de ventas en plataformas de comercio electrónico y la mayor demanda de empaques y embalajes por parte de los clientes en la industria alimentaria.</w:t>
      </w:r>
    </w:p>
    <w:p w14:paraId="14E90E2B" w14:textId="77777777" w:rsidR="00CE2445" w:rsidRPr="00CE2445" w:rsidRDefault="00CE2445" w:rsidP="00CE2445">
      <w:pPr>
        <w:pStyle w:val="PRIMERAPLANA"/>
        <w:spacing w:line="360" w:lineRule="auto"/>
        <w:rPr>
          <w:rFonts w:ascii="Times New Roman" w:hAnsi="Times New Roman"/>
          <w:iCs/>
          <w:lang w:val="es-MX"/>
        </w:rPr>
      </w:pPr>
    </w:p>
    <w:p w14:paraId="4BD137F3"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Por su parte, en la industria de derivados del petróleo, reportaron dinamismo en la demanda de recubrimientos para la industria automotriz y para la maquinaria del sector construcción. Asimismo, se identificó una buena evolución en las ventas de recubrimientos que son utilizados en las edificaciones.</w:t>
      </w:r>
    </w:p>
    <w:p w14:paraId="345C4530" w14:textId="77777777" w:rsidR="00CE2445" w:rsidRPr="00CE2445" w:rsidRDefault="00CE2445" w:rsidP="00CE2445">
      <w:pPr>
        <w:pStyle w:val="PRIMERAPLANA"/>
        <w:spacing w:line="360" w:lineRule="auto"/>
        <w:jc w:val="center"/>
        <w:rPr>
          <w:rFonts w:ascii="Times New Roman" w:hAnsi="Times New Roman"/>
          <w:b/>
          <w:bCs/>
          <w:iCs/>
          <w:lang w:val="es-MX"/>
        </w:rPr>
      </w:pPr>
      <w:r w:rsidRPr="00CE2445">
        <w:rPr>
          <w:rFonts w:ascii="Times New Roman" w:hAnsi="Times New Roman"/>
          <w:b/>
          <w:bCs/>
          <w:iCs/>
          <w:lang w:val="es-MX"/>
        </w:rPr>
        <w:t>PIBE TLAXCALA 1T2024</w:t>
      </w:r>
    </w:p>
    <w:p w14:paraId="52D70918" w14:textId="08B8B173" w:rsidR="00CE2445" w:rsidRPr="00CE2445" w:rsidRDefault="00754CF1" w:rsidP="00CE2445">
      <w:pPr>
        <w:pStyle w:val="PRIMERAPLANA"/>
        <w:spacing w:line="360" w:lineRule="auto"/>
        <w:jc w:val="center"/>
        <w:rPr>
          <w:rFonts w:ascii="Times New Roman" w:hAnsi="Times New Roman"/>
          <w:iCs/>
          <w:lang w:val="es-MX"/>
        </w:rPr>
      </w:pPr>
      <w:r>
        <w:rPr>
          <w:noProof/>
          <w:lang w:val="es-MX" w:eastAsia="es-MX"/>
        </w:rPr>
        <mc:AlternateContent>
          <mc:Choice Requires="wps">
            <w:drawing>
              <wp:anchor distT="45720" distB="45720" distL="114300" distR="114300" simplePos="0" relativeHeight="251728896" behindDoc="0" locked="0" layoutInCell="1" allowOverlap="1" wp14:anchorId="160FB324" wp14:editId="19C07E44">
                <wp:simplePos x="0" y="0"/>
                <wp:positionH relativeFrom="column">
                  <wp:posOffset>1950720</wp:posOffset>
                </wp:positionH>
                <wp:positionV relativeFrom="paragraph">
                  <wp:posOffset>2525395</wp:posOffset>
                </wp:positionV>
                <wp:extent cx="1112520" cy="20828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08280"/>
                        </a:xfrm>
                        <a:prstGeom prst="rect">
                          <a:avLst/>
                        </a:prstGeom>
                        <a:solidFill>
                          <a:srgbClr val="FFFFFF"/>
                        </a:solidFill>
                        <a:ln w="9525">
                          <a:noFill/>
                          <a:miter lim="800000"/>
                          <a:headEnd/>
                          <a:tailEnd/>
                        </a:ln>
                      </wps:spPr>
                      <wps:txbx>
                        <w:txbxContent>
                          <w:p w14:paraId="704EAAAA" w14:textId="77777777" w:rsidR="00282D76" w:rsidRPr="001D4071" w:rsidRDefault="00282D76" w:rsidP="00CE2445">
                            <w:pPr>
                              <w:rPr>
                                <w:rFonts w:ascii="Arial" w:hAnsi="Arial" w:cs="Arial"/>
                                <w:b/>
                                <w:bCs/>
                                <w:sz w:val="16"/>
                                <w:szCs w:val="16"/>
                              </w:rPr>
                            </w:pPr>
                            <w:r w:rsidRPr="001D4071">
                              <w:rPr>
                                <w:rFonts w:ascii="Arial" w:hAnsi="Arial" w:cs="Arial"/>
                                <w:b/>
                                <w:bCs/>
                                <w:sz w:val="16"/>
                                <w:szCs w:val="16"/>
                              </w:rPr>
                              <w:t>Trimestre/Año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0FB324" id="_x0000_t202" coordsize="21600,21600" o:spt="202" path="m,l,21600r21600,l21600,xe">
                <v:stroke joinstyle="miter"/>
                <v:path gradientshapeok="t" o:connecttype="rect"/>
              </v:shapetype>
              <v:shape id="Cuadro de texto 10" o:spid="_x0000_s1026" type="#_x0000_t202" style="position:absolute;left:0;text-align:left;margin-left:153.6pt;margin-top:198.85pt;width:87.6pt;height:16.4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" stroked="f">
                <v:textbox style="mso-fit-shape-to-text:t">
                  <w:txbxContent>
                    <w:p w14:paraId="704EAAAA" w14:textId="77777777" w:rsidR="00282D76" w:rsidRPr="001D4071" w:rsidRDefault="00282D76" w:rsidP="00CE2445">
                      <w:pPr>
                        <w:rPr>
                          <w:rFonts w:ascii="Arial" w:hAnsi="Arial" w:cs="Arial"/>
                          <w:b/>
                          <w:bCs/>
                          <w:sz w:val="16"/>
                          <w:szCs w:val="16"/>
                        </w:rPr>
                      </w:pPr>
                      <w:r w:rsidRPr="001D4071">
                        <w:rPr>
                          <w:rFonts w:ascii="Arial" w:hAnsi="Arial" w:cs="Arial"/>
                          <w:b/>
                          <w:bCs/>
                          <w:sz w:val="16"/>
                          <w:szCs w:val="16"/>
                        </w:rPr>
                        <w:t>Trimestre/Año</w:t>
                      </w:r>
                    </w:p>
                  </w:txbxContent>
                </v:textbox>
              </v:shape>
            </w:pict>
          </mc:Fallback>
        </mc:AlternateContent>
      </w:r>
      <w:r>
        <w:rPr>
          <w:noProof/>
          <w:lang w:val="es-MX" w:eastAsia="es-MX"/>
        </w:rPr>
        <mc:AlternateContent>
          <mc:Choice Requires="wps">
            <w:drawing>
              <wp:anchor distT="45720" distB="45720" distL="114300" distR="114300" simplePos="0" relativeHeight="251727872" behindDoc="0" locked="0" layoutInCell="1" allowOverlap="1" wp14:anchorId="09E7C877" wp14:editId="7ACCD4F3">
                <wp:simplePos x="0" y="0"/>
                <wp:positionH relativeFrom="column">
                  <wp:posOffset>-123825</wp:posOffset>
                </wp:positionH>
                <wp:positionV relativeFrom="paragraph">
                  <wp:posOffset>325120</wp:posOffset>
                </wp:positionV>
                <wp:extent cx="258445" cy="231140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311400"/>
                        </a:xfrm>
                        <a:prstGeom prst="rect">
                          <a:avLst/>
                        </a:prstGeom>
                        <a:solidFill>
                          <a:srgbClr val="FFFFFF"/>
                        </a:solidFill>
                        <a:ln w="9525">
                          <a:noFill/>
                          <a:miter lim="800000"/>
                          <a:headEnd/>
                          <a:tailEnd/>
                        </a:ln>
                      </wps:spPr>
                      <wps:txbx>
                        <w:txbxContent>
                          <w:p w14:paraId="14F636B8" w14:textId="77777777" w:rsidR="00282D76" w:rsidRPr="001D4071" w:rsidRDefault="00282D76" w:rsidP="00CE2445">
                            <w:pPr>
                              <w:jc w:val="center"/>
                              <w:rPr>
                                <w:rFonts w:ascii="Arial" w:hAnsi="Arial" w:cs="Arial"/>
                                <w:b/>
                                <w:bCs/>
                                <w:sz w:val="16"/>
                                <w:szCs w:val="16"/>
                              </w:rPr>
                            </w:pPr>
                            <w:r w:rsidRPr="001D4071">
                              <w:rPr>
                                <w:rFonts w:ascii="Arial" w:hAnsi="Arial" w:cs="Arial"/>
                                <w:b/>
                                <w:bCs/>
                                <w:sz w:val="16"/>
                                <w:szCs w:val="16"/>
                              </w:rPr>
                              <w:t>Tasa</w:t>
                            </w:r>
                          </w:p>
                          <w:p w14:paraId="449DE72B" w14:textId="77777777" w:rsidR="00282D76" w:rsidRPr="001D4071" w:rsidRDefault="00282D76" w:rsidP="00CE2445">
                            <w:pPr>
                              <w:jc w:val="center"/>
                              <w:rPr>
                                <w:rFonts w:ascii="Arial" w:hAnsi="Arial" w:cs="Arial"/>
                                <w:b/>
                                <w:bCs/>
                                <w:sz w:val="16"/>
                                <w:szCs w:val="16"/>
                              </w:rPr>
                            </w:pPr>
                          </w:p>
                          <w:p w14:paraId="78BA2A8B" w14:textId="77777777" w:rsidR="00282D76" w:rsidRPr="001D4071" w:rsidRDefault="00282D76" w:rsidP="00CE2445">
                            <w:pPr>
                              <w:jc w:val="center"/>
                              <w:rPr>
                                <w:rFonts w:ascii="Arial" w:hAnsi="Arial" w:cs="Arial"/>
                                <w:b/>
                                <w:bCs/>
                                <w:sz w:val="16"/>
                                <w:szCs w:val="16"/>
                              </w:rPr>
                            </w:pPr>
                            <w:r w:rsidRPr="001D4071">
                              <w:rPr>
                                <w:rFonts w:ascii="Arial" w:hAnsi="Arial" w:cs="Arial"/>
                                <w:b/>
                                <w:bCs/>
                                <w:sz w:val="16"/>
                                <w:szCs w:val="16"/>
                              </w:rPr>
                              <w:t>de</w:t>
                            </w:r>
                          </w:p>
                          <w:p w14:paraId="18FF131B" w14:textId="77777777" w:rsidR="00282D76" w:rsidRPr="001D4071" w:rsidRDefault="00282D76" w:rsidP="00CE2445">
                            <w:pPr>
                              <w:jc w:val="center"/>
                              <w:rPr>
                                <w:rFonts w:ascii="Arial" w:hAnsi="Arial" w:cs="Arial"/>
                                <w:b/>
                                <w:bCs/>
                                <w:sz w:val="16"/>
                                <w:szCs w:val="16"/>
                              </w:rPr>
                            </w:pPr>
                          </w:p>
                          <w:p w14:paraId="0C8CA8FC" w14:textId="77777777" w:rsidR="00282D76" w:rsidRPr="001D4071" w:rsidRDefault="00282D76" w:rsidP="00CE2445">
                            <w:pPr>
                              <w:jc w:val="center"/>
                              <w:rPr>
                                <w:rFonts w:ascii="Arial" w:hAnsi="Arial" w:cs="Arial"/>
                                <w:b/>
                                <w:bCs/>
                                <w:sz w:val="16"/>
                                <w:szCs w:val="16"/>
                              </w:rPr>
                            </w:pPr>
                            <w:r w:rsidRPr="001D4071">
                              <w:rPr>
                                <w:rFonts w:ascii="Arial" w:hAnsi="Arial" w:cs="Arial"/>
                                <w:b/>
                                <w:bCs/>
                                <w:sz w:val="16"/>
                                <w:szCs w:val="16"/>
                              </w:rPr>
                              <w:t>Crecimiento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E7C877" id="Cuadro de texto 6" o:spid="_x0000_s1027" type="#_x0000_t202" style="position:absolute;left:0;text-align:left;margin-left:-9.75pt;margin-top:25.6pt;width:20.35pt;height:182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" stroked="f">
                <v:textbox style="mso-fit-shape-to-text:t">
                  <w:txbxContent>
                    <w:p w14:paraId="14F636B8" w14:textId="77777777" w:rsidR="00282D76" w:rsidRPr="001D4071" w:rsidRDefault="00282D76" w:rsidP="00CE2445">
                      <w:pPr>
                        <w:jc w:val="center"/>
                        <w:rPr>
                          <w:rFonts w:ascii="Arial" w:hAnsi="Arial" w:cs="Arial"/>
                          <w:b/>
                          <w:bCs/>
                          <w:sz w:val="16"/>
                          <w:szCs w:val="16"/>
                        </w:rPr>
                      </w:pPr>
                      <w:r w:rsidRPr="001D4071">
                        <w:rPr>
                          <w:rFonts w:ascii="Arial" w:hAnsi="Arial" w:cs="Arial"/>
                          <w:b/>
                          <w:bCs/>
                          <w:sz w:val="16"/>
                          <w:szCs w:val="16"/>
                        </w:rPr>
                        <w:t>Tasa</w:t>
                      </w:r>
                    </w:p>
                    <w:p w14:paraId="449DE72B" w14:textId="77777777" w:rsidR="00282D76" w:rsidRPr="001D4071" w:rsidRDefault="00282D76" w:rsidP="00CE2445">
                      <w:pPr>
                        <w:jc w:val="center"/>
                        <w:rPr>
                          <w:rFonts w:ascii="Arial" w:hAnsi="Arial" w:cs="Arial"/>
                          <w:b/>
                          <w:bCs/>
                          <w:sz w:val="16"/>
                          <w:szCs w:val="16"/>
                        </w:rPr>
                      </w:pPr>
                    </w:p>
                    <w:p w14:paraId="78BA2A8B" w14:textId="77777777" w:rsidR="00282D76" w:rsidRPr="001D4071" w:rsidRDefault="00282D76" w:rsidP="00CE2445">
                      <w:pPr>
                        <w:jc w:val="center"/>
                        <w:rPr>
                          <w:rFonts w:ascii="Arial" w:hAnsi="Arial" w:cs="Arial"/>
                          <w:b/>
                          <w:bCs/>
                          <w:sz w:val="16"/>
                          <w:szCs w:val="16"/>
                        </w:rPr>
                      </w:pPr>
                      <w:proofErr w:type="gramStart"/>
                      <w:r w:rsidRPr="001D4071">
                        <w:rPr>
                          <w:rFonts w:ascii="Arial" w:hAnsi="Arial" w:cs="Arial"/>
                          <w:b/>
                          <w:bCs/>
                          <w:sz w:val="16"/>
                          <w:szCs w:val="16"/>
                        </w:rPr>
                        <w:t>de</w:t>
                      </w:r>
                      <w:proofErr w:type="gramEnd"/>
                    </w:p>
                    <w:p w14:paraId="18FF131B" w14:textId="77777777" w:rsidR="00282D76" w:rsidRPr="001D4071" w:rsidRDefault="00282D76" w:rsidP="00CE2445">
                      <w:pPr>
                        <w:jc w:val="center"/>
                        <w:rPr>
                          <w:rFonts w:ascii="Arial" w:hAnsi="Arial" w:cs="Arial"/>
                          <w:b/>
                          <w:bCs/>
                          <w:sz w:val="16"/>
                          <w:szCs w:val="16"/>
                        </w:rPr>
                      </w:pPr>
                    </w:p>
                    <w:p w14:paraId="0C8CA8FC" w14:textId="77777777" w:rsidR="00282D76" w:rsidRPr="001D4071" w:rsidRDefault="00282D76" w:rsidP="00CE2445">
                      <w:pPr>
                        <w:jc w:val="center"/>
                        <w:rPr>
                          <w:rFonts w:ascii="Arial" w:hAnsi="Arial" w:cs="Arial"/>
                          <w:b/>
                          <w:bCs/>
                          <w:sz w:val="16"/>
                          <w:szCs w:val="16"/>
                        </w:rPr>
                      </w:pPr>
                      <w:r w:rsidRPr="001D4071">
                        <w:rPr>
                          <w:rFonts w:ascii="Arial" w:hAnsi="Arial" w:cs="Arial"/>
                          <w:b/>
                          <w:bCs/>
                          <w:sz w:val="16"/>
                          <w:szCs w:val="16"/>
                        </w:rPr>
                        <w:t>Crecimiento</w:t>
                      </w:r>
                    </w:p>
                  </w:txbxContent>
                </v:textbox>
              </v:shape>
            </w:pict>
          </mc:Fallback>
        </mc:AlternateContent>
      </w:r>
      <w:r w:rsidR="00CE2445" w:rsidRPr="00CE2445">
        <w:rPr>
          <w:rFonts w:ascii="Times New Roman" w:hAnsi="Times New Roman"/>
          <w:noProof/>
          <w:lang w:val="es-MX" w:eastAsia="es-MX"/>
        </w:rPr>
        <w:drawing>
          <wp:inline distT="0" distB="0" distL="0" distR="0" wp14:anchorId="2346DDE0" wp14:editId="70BA9976">
            <wp:extent cx="5017770" cy="2587924"/>
            <wp:effectExtent l="0" t="0" r="0" b="3175"/>
            <wp:docPr id="649637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7976" name=""/>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400000"/>
                              </a14:imgEffect>
                            </a14:imgLayer>
                          </a14:imgProps>
                        </a:ext>
                      </a:extLst>
                    </a:blip>
                    <a:srcRect l="23373" t="32883" r="25188" b="18868"/>
                    <a:stretch/>
                  </pic:blipFill>
                  <pic:spPr bwMode="auto">
                    <a:xfrm>
                      <a:off x="0" y="0"/>
                      <a:ext cx="5063586" cy="2611554"/>
                    </a:xfrm>
                    <a:prstGeom prst="rect">
                      <a:avLst/>
                    </a:prstGeom>
                    <a:ln>
                      <a:noFill/>
                    </a:ln>
                    <a:extLst>
                      <a:ext uri="{53640926-AAD7-44D8-BBD7-CCE9431645EC}">
                        <a14:shadowObscured xmlns:a14="http://schemas.microsoft.com/office/drawing/2010/main"/>
                      </a:ext>
                    </a:extLst>
                  </pic:spPr>
                </pic:pic>
              </a:graphicData>
            </a:graphic>
          </wp:inline>
        </w:drawing>
      </w:r>
    </w:p>
    <w:p w14:paraId="1E84C293" w14:textId="77777777" w:rsidR="00CE2445" w:rsidRPr="00CE2445" w:rsidRDefault="00CE2445" w:rsidP="00CE2445">
      <w:pPr>
        <w:pStyle w:val="PRIMERAPLANA"/>
        <w:spacing w:line="360" w:lineRule="auto"/>
        <w:rPr>
          <w:rFonts w:ascii="Times New Roman" w:hAnsi="Times New Roman"/>
          <w:b/>
          <w:bCs/>
          <w:iCs/>
          <w:lang w:val="es-MX"/>
        </w:rPr>
      </w:pPr>
      <w:r w:rsidRPr="00CE2445">
        <w:rPr>
          <w:rFonts w:ascii="Times New Roman" w:hAnsi="Times New Roman"/>
          <w:b/>
          <w:bCs/>
          <w:iCs/>
          <w:lang w:val="es-MX"/>
        </w:rPr>
        <w:t>Fuente: México, ¿Cómo Vamos?</w:t>
      </w:r>
    </w:p>
    <w:p w14:paraId="6629479C" w14:textId="77777777" w:rsidR="00CE2445" w:rsidRPr="00CE2445" w:rsidRDefault="00CE2445" w:rsidP="00CE2445">
      <w:pPr>
        <w:pStyle w:val="PRIMERAPLANA"/>
        <w:spacing w:line="360" w:lineRule="auto"/>
        <w:rPr>
          <w:rFonts w:ascii="Times New Roman" w:hAnsi="Times New Roman"/>
          <w:b/>
          <w:bCs/>
          <w:iCs/>
          <w:lang w:val="es-MX"/>
        </w:rPr>
      </w:pPr>
    </w:p>
    <w:p w14:paraId="58AD0D14"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 xml:space="preserve">Se espera que Tlaxcala siga registrando márgenes operativos positivos en 2025, pero menores a los observados en años previos a la pandemia, debido principalmente a la disminución en las transferencias federales no etiquetadas (participaciones) al cierre de 2024. Si bien, se espera que las participaciones se ubiquen en términos de lo programado, en caso de no cumplirse la estimación ante la reducción de la recaudación federal participable, el Gobierno Federal previó la potenciación del Fondo de Estabilización de los Ingresos de las Entidades Federativas (FEIEF) con miras a proteger la disponibilidad de recursos de los Estados y Municipios. </w:t>
      </w:r>
    </w:p>
    <w:p w14:paraId="01DB9734" w14:textId="77777777" w:rsidR="00CE2445" w:rsidRPr="00CE2445" w:rsidRDefault="00CE2445" w:rsidP="00CE2445">
      <w:pPr>
        <w:pStyle w:val="PRIMERAPLANA"/>
        <w:spacing w:line="360" w:lineRule="auto"/>
        <w:rPr>
          <w:rFonts w:ascii="Times New Roman" w:hAnsi="Times New Roman"/>
          <w:iCs/>
          <w:lang w:val="es-MX"/>
        </w:rPr>
      </w:pPr>
    </w:p>
    <w:p w14:paraId="60445EAF"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 xml:space="preserve">La política fiscal que se implementará en el ejercicio 2025, tendrá como finalidad mantener un balance presupuestario positivo, procurando que las fuentes de ingreso financien el gasto corriente del ejercicio, por lo que se estima que se sigan registrando márgenes operativos positivos al cierre de 2024 y en 2025, </w:t>
      </w:r>
      <w:r w:rsidRPr="00CE2445">
        <w:rPr>
          <w:rFonts w:ascii="Times New Roman" w:hAnsi="Times New Roman"/>
          <w:iCs/>
          <w:lang w:val="es-MX"/>
        </w:rPr>
        <w:lastRenderedPageBreak/>
        <w:t>pero menores a los registrados en ejercicios anteriores. Los resultados financieros balanceados y la política de deuda conservadora, han permitido que desde el ejercicio 2008 el Estado de Tlaxcala haya registrado una posición libre de endeudamiento.</w:t>
      </w:r>
    </w:p>
    <w:p w14:paraId="39F153A4" w14:textId="77777777" w:rsidR="00CE2445" w:rsidRPr="00CE2445" w:rsidRDefault="00CE2445" w:rsidP="00CE2445">
      <w:pPr>
        <w:pStyle w:val="PRIMERAPLANA"/>
        <w:spacing w:line="360" w:lineRule="auto"/>
        <w:rPr>
          <w:rFonts w:ascii="Times New Roman" w:hAnsi="Times New Roman"/>
          <w:iCs/>
          <w:lang w:val="es-MX"/>
        </w:rPr>
      </w:pPr>
    </w:p>
    <w:p w14:paraId="7A2292EA"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1B6B2122" w14:textId="77777777" w:rsidR="00CE2445" w:rsidRPr="00CE2445" w:rsidRDefault="00CE2445" w:rsidP="00CE2445">
      <w:pPr>
        <w:pStyle w:val="PRIMERAPLANA"/>
        <w:spacing w:line="360" w:lineRule="auto"/>
        <w:rPr>
          <w:rFonts w:ascii="Times New Roman" w:hAnsi="Times New Roman"/>
          <w:iCs/>
          <w:lang w:val="es-MX"/>
        </w:rPr>
      </w:pPr>
    </w:p>
    <w:p w14:paraId="77E2CE38"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Se estima que para 2025, los ingresos propios se mantengan en niveles similares a los de 2024, en línea con las previsiones efectuadas por el Gobierno Federal, considerando que los recursos destinados a las entidades federativas por participaciones, en lo que va del año corresponde a 694,795.7 millones de pesos, lo que representa un crecimiento de 6.5% con respecto a lo programado.</w:t>
      </w:r>
    </w:p>
    <w:p w14:paraId="530E3560" w14:textId="77777777" w:rsidR="00CE2445" w:rsidRPr="00CE2445" w:rsidRDefault="00CE2445" w:rsidP="00CE2445">
      <w:pPr>
        <w:pStyle w:val="PRIMERAPLANA"/>
        <w:spacing w:line="360" w:lineRule="auto"/>
        <w:rPr>
          <w:rFonts w:ascii="Times New Roman" w:hAnsi="Times New Roman"/>
          <w:iCs/>
          <w:lang w:val="es-MX"/>
        </w:rPr>
      </w:pPr>
    </w:p>
    <w:p w14:paraId="6322879A"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La liquidez del Estado de Tlaxcala es un factor que permite enfrentar choques externos imprevistos, por lo que se espera que el efectivo del Estado cubra al menos el 0.5% de los pasivos promedio para 2024 y 2025, como resultado del buen manejo del presupuesto.</w:t>
      </w:r>
    </w:p>
    <w:p w14:paraId="3EB91615" w14:textId="77777777" w:rsidR="00CE2445" w:rsidRPr="00CE2445" w:rsidRDefault="00CE2445" w:rsidP="00CE2445">
      <w:pPr>
        <w:pStyle w:val="PRIMERAPLANA"/>
        <w:spacing w:line="360" w:lineRule="auto"/>
        <w:rPr>
          <w:rFonts w:ascii="Times New Roman" w:hAnsi="Times New Roman"/>
          <w:iCs/>
          <w:lang w:val="es-MX"/>
        </w:rPr>
      </w:pPr>
    </w:p>
    <w:p w14:paraId="5D90F620" w14:textId="77777777" w:rsidR="00CE2445" w:rsidRPr="00CE2445" w:rsidRDefault="00CE2445" w:rsidP="00CE2445">
      <w:pPr>
        <w:pStyle w:val="PRIMERAPLANA"/>
        <w:spacing w:line="360" w:lineRule="auto"/>
        <w:rPr>
          <w:rFonts w:ascii="Times New Roman" w:hAnsi="Times New Roman"/>
          <w:iCs/>
          <w:lang w:val="es-MX"/>
        </w:rPr>
      </w:pPr>
      <w:r w:rsidRPr="00CE2445">
        <w:rPr>
          <w:rFonts w:ascii="Times New Roman" w:hAnsi="Times New Roman"/>
          <w:iCs/>
          <w:lang w:val="es-MX"/>
        </w:rPr>
        <w:t>La Iniciativa de Ley Ingresos del Estado de Tlaxcala para el Ejercicio Fiscal 2025, presentada ante ese Congreso del Estado, establece una estimación con base en las cifras consideradas por la Secretaría de Hacienda y Crédito Público para el ejercicio 2025, correspondientes a los conceptos por los cuales el Gobierno del Estado obtendrá los recursos económicos que requiere para la realización de sus funciones.</w:t>
      </w:r>
    </w:p>
    <w:p w14:paraId="1D3F02F1" w14:textId="77777777" w:rsidR="00CE2445" w:rsidRPr="00CE2445" w:rsidRDefault="00CE2445" w:rsidP="00CE2445">
      <w:pPr>
        <w:pStyle w:val="PRIMERAPLANA"/>
        <w:spacing w:line="360" w:lineRule="auto"/>
        <w:rPr>
          <w:rFonts w:ascii="Times New Roman" w:hAnsi="Times New Roman"/>
          <w:iCs/>
          <w:lang w:val="es-MX"/>
        </w:rPr>
      </w:pPr>
    </w:p>
    <w:p w14:paraId="15609ECF" w14:textId="1F6CC7BE" w:rsidR="00CE2445" w:rsidRPr="00CE2445" w:rsidRDefault="00CE2445" w:rsidP="00CE2445">
      <w:pPr>
        <w:spacing w:line="360" w:lineRule="auto"/>
        <w:jc w:val="both"/>
        <w:rPr>
          <w:sz w:val="20"/>
          <w:szCs w:val="20"/>
        </w:rPr>
      </w:pPr>
      <w:r w:rsidRPr="00CE2445">
        <w:rPr>
          <w:sz w:val="20"/>
          <w:szCs w:val="20"/>
        </w:rPr>
        <w:t xml:space="preserve">El comportamiento de los ingresos derivados de fuentes locales en los últimos 5 años, ha presentado un comportamiento creciente, derivado de las acciones implementadas, enfocadas a la simplificación administrativa y a la mejora en la prestación de servicios a la ciudadanía; sin embargo, durante el ejercicio 2020 </w:t>
      </w:r>
      <w:r w:rsidR="008268E3">
        <w:rPr>
          <w:sz w:val="20"/>
          <w:szCs w:val="20"/>
        </w:rPr>
        <w:t>la</w:t>
      </w:r>
      <w:r w:rsidR="008268E3" w:rsidRPr="00CE2445">
        <w:rPr>
          <w:sz w:val="20"/>
          <w:szCs w:val="20"/>
        </w:rPr>
        <w:t xml:space="preserve"> </w:t>
      </w:r>
      <w:r w:rsidRPr="00CE2445">
        <w:rPr>
          <w:sz w:val="20"/>
          <w:szCs w:val="20"/>
        </w:rPr>
        <w:t>estabilidad se vio afectada por los efectos de la pandemia ocasionada por la COVID-19.</w:t>
      </w:r>
    </w:p>
    <w:p w14:paraId="6F425493" w14:textId="31DBCD0F" w:rsidR="00CE2445" w:rsidRDefault="00CE2445" w:rsidP="00CE2445">
      <w:pPr>
        <w:spacing w:line="360" w:lineRule="auto"/>
        <w:jc w:val="both"/>
        <w:rPr>
          <w:sz w:val="20"/>
          <w:szCs w:val="20"/>
        </w:rPr>
      </w:pPr>
    </w:p>
    <w:p w14:paraId="58568E64" w14:textId="0BA17948" w:rsidR="00A4763F" w:rsidRDefault="00A4763F" w:rsidP="00CE2445">
      <w:pPr>
        <w:spacing w:line="360" w:lineRule="auto"/>
        <w:jc w:val="both"/>
        <w:rPr>
          <w:sz w:val="20"/>
          <w:szCs w:val="20"/>
        </w:rPr>
      </w:pPr>
    </w:p>
    <w:p w14:paraId="4CB688A9" w14:textId="11A59C81" w:rsidR="00A4763F" w:rsidRDefault="00A4763F" w:rsidP="00CE2445">
      <w:pPr>
        <w:spacing w:line="360" w:lineRule="auto"/>
        <w:jc w:val="both"/>
        <w:rPr>
          <w:sz w:val="20"/>
          <w:szCs w:val="20"/>
        </w:rPr>
      </w:pPr>
    </w:p>
    <w:p w14:paraId="1971C3ED" w14:textId="3C762461" w:rsidR="00A4763F" w:rsidRDefault="00A4763F" w:rsidP="00CE2445">
      <w:pPr>
        <w:spacing w:line="360" w:lineRule="auto"/>
        <w:jc w:val="both"/>
        <w:rPr>
          <w:sz w:val="20"/>
          <w:szCs w:val="20"/>
        </w:rPr>
      </w:pPr>
    </w:p>
    <w:p w14:paraId="1B5E6971" w14:textId="0FFFE37A" w:rsidR="00A4763F" w:rsidRDefault="00A4763F" w:rsidP="00CE2445">
      <w:pPr>
        <w:spacing w:line="360" w:lineRule="auto"/>
        <w:jc w:val="both"/>
        <w:rPr>
          <w:sz w:val="20"/>
          <w:szCs w:val="20"/>
        </w:rPr>
      </w:pPr>
    </w:p>
    <w:p w14:paraId="66C68779" w14:textId="69482A16" w:rsidR="00A4763F" w:rsidRDefault="00A4763F" w:rsidP="00CE2445">
      <w:pPr>
        <w:spacing w:line="360" w:lineRule="auto"/>
        <w:jc w:val="both"/>
        <w:rPr>
          <w:sz w:val="20"/>
          <w:szCs w:val="20"/>
        </w:rPr>
      </w:pPr>
    </w:p>
    <w:p w14:paraId="108374DF" w14:textId="1E27518D" w:rsidR="00A4763F" w:rsidRDefault="00A4763F" w:rsidP="00CE2445">
      <w:pPr>
        <w:spacing w:line="360" w:lineRule="auto"/>
        <w:jc w:val="both"/>
        <w:rPr>
          <w:sz w:val="20"/>
          <w:szCs w:val="20"/>
        </w:rPr>
      </w:pPr>
    </w:p>
    <w:p w14:paraId="65704D16" w14:textId="77777777" w:rsidR="00A4763F" w:rsidRPr="00CE2445" w:rsidRDefault="00A4763F" w:rsidP="00CE2445">
      <w:pPr>
        <w:spacing w:line="360" w:lineRule="auto"/>
        <w:jc w:val="both"/>
        <w:rPr>
          <w:sz w:val="20"/>
          <w:szCs w:val="20"/>
        </w:rPr>
      </w:pPr>
    </w:p>
    <w:p w14:paraId="5EB37BB8" w14:textId="5BC23D98" w:rsidR="00CE2445" w:rsidRDefault="00CE2445" w:rsidP="00CE2445">
      <w:pPr>
        <w:spacing w:line="360" w:lineRule="auto"/>
        <w:jc w:val="center"/>
        <w:rPr>
          <w:b/>
          <w:sz w:val="20"/>
          <w:szCs w:val="20"/>
        </w:rPr>
      </w:pPr>
      <w:r w:rsidRPr="00CE2445">
        <w:rPr>
          <w:b/>
          <w:sz w:val="20"/>
          <w:szCs w:val="20"/>
        </w:rPr>
        <w:t>RECAUDACIÓN DE INGRESOS LOCALES 2020-2024* (</w:t>
      </w:r>
      <w:proofErr w:type="spellStart"/>
      <w:r w:rsidRPr="00CE2445">
        <w:rPr>
          <w:b/>
          <w:sz w:val="20"/>
          <w:szCs w:val="20"/>
        </w:rPr>
        <w:t>Mdp</w:t>
      </w:r>
      <w:proofErr w:type="spellEnd"/>
      <w:r w:rsidRPr="00CE2445">
        <w:rPr>
          <w:b/>
          <w:sz w:val="20"/>
          <w:szCs w:val="20"/>
        </w:rPr>
        <w:t>)</w:t>
      </w:r>
    </w:p>
    <w:tbl>
      <w:tblPr>
        <w:tblW w:w="7906" w:type="dxa"/>
        <w:jc w:val="center"/>
        <w:tblLayout w:type="fixed"/>
        <w:tblCellMar>
          <w:left w:w="70" w:type="dxa"/>
          <w:right w:w="70" w:type="dxa"/>
        </w:tblCellMar>
        <w:tblLook w:val="04A0" w:firstRow="1" w:lastRow="0" w:firstColumn="1" w:lastColumn="0" w:noHBand="0" w:noVBand="1"/>
      </w:tblPr>
      <w:tblGrid>
        <w:gridCol w:w="2507"/>
        <w:gridCol w:w="1051"/>
        <w:gridCol w:w="1051"/>
        <w:gridCol w:w="1181"/>
        <w:gridCol w:w="1051"/>
        <w:gridCol w:w="1065"/>
      </w:tblGrid>
      <w:tr w:rsidR="00CE2445" w:rsidRPr="00CE2445" w14:paraId="5BB1AD4A" w14:textId="77777777" w:rsidTr="00A4763F">
        <w:trPr>
          <w:trHeight w:val="150"/>
          <w:jc w:val="center"/>
        </w:trPr>
        <w:tc>
          <w:tcPr>
            <w:tcW w:w="7906" w:type="dxa"/>
            <w:gridSpan w:val="6"/>
            <w:tcBorders>
              <w:top w:val="single" w:sz="8" w:space="0" w:color="auto"/>
              <w:left w:val="single" w:sz="8" w:space="0" w:color="auto"/>
              <w:bottom w:val="nil"/>
              <w:right w:val="single" w:sz="4" w:space="0" w:color="auto"/>
            </w:tcBorders>
            <w:noWrap/>
            <w:vAlign w:val="bottom"/>
            <w:hideMark/>
          </w:tcPr>
          <w:p w14:paraId="0B29BFD9" w14:textId="77777777" w:rsidR="00CE2445" w:rsidRPr="00CE2445" w:rsidRDefault="00CE2445" w:rsidP="00CE2445">
            <w:pPr>
              <w:spacing w:line="256" w:lineRule="auto"/>
              <w:ind w:left="-66"/>
              <w:jc w:val="center"/>
              <w:rPr>
                <w:b/>
                <w:bCs/>
                <w:sz w:val="14"/>
                <w:szCs w:val="14"/>
                <w:lang w:val="en-US" w:eastAsia="es-MX"/>
              </w:rPr>
            </w:pPr>
            <w:r w:rsidRPr="00CE2445">
              <w:rPr>
                <w:b/>
                <w:bCs/>
                <w:sz w:val="14"/>
                <w:szCs w:val="14"/>
                <w:lang w:val="en-US" w:eastAsia="es-MX"/>
              </w:rPr>
              <w:t xml:space="preserve">GOBIERNO DEL ESTADO DE TLAXCALA </w:t>
            </w:r>
          </w:p>
        </w:tc>
      </w:tr>
      <w:tr w:rsidR="00CE2445" w:rsidRPr="00CE2445" w14:paraId="40E516A9" w14:textId="77777777" w:rsidTr="00A4763F">
        <w:trPr>
          <w:trHeight w:val="65"/>
          <w:jc w:val="center"/>
        </w:trPr>
        <w:tc>
          <w:tcPr>
            <w:tcW w:w="7906" w:type="dxa"/>
            <w:gridSpan w:val="6"/>
            <w:tcBorders>
              <w:top w:val="nil"/>
              <w:left w:val="single" w:sz="8" w:space="0" w:color="auto"/>
              <w:bottom w:val="single" w:sz="8" w:space="0" w:color="auto"/>
              <w:right w:val="single" w:sz="4" w:space="0" w:color="auto"/>
            </w:tcBorders>
            <w:noWrap/>
            <w:vAlign w:val="bottom"/>
            <w:hideMark/>
          </w:tcPr>
          <w:p w14:paraId="4A51D855" w14:textId="77777777" w:rsidR="00CE2445" w:rsidRPr="00CE2445" w:rsidRDefault="00CE2445" w:rsidP="00CE2445">
            <w:pPr>
              <w:spacing w:line="256" w:lineRule="auto"/>
              <w:ind w:left="-66"/>
              <w:jc w:val="center"/>
              <w:rPr>
                <w:b/>
                <w:bCs/>
                <w:sz w:val="14"/>
                <w:szCs w:val="14"/>
                <w:lang w:val="en-US" w:eastAsia="es-MX"/>
              </w:rPr>
            </w:pPr>
            <w:r w:rsidRPr="00CE2445">
              <w:rPr>
                <w:b/>
                <w:bCs/>
                <w:sz w:val="14"/>
                <w:szCs w:val="14"/>
                <w:lang w:val="en-US" w:eastAsia="es-MX"/>
              </w:rPr>
              <w:t>RECAUDACION DE INGRESOS LOCALES 2020-2024*</w:t>
            </w:r>
          </w:p>
        </w:tc>
      </w:tr>
      <w:tr w:rsidR="00CE2445" w:rsidRPr="00CE2445" w14:paraId="5B9E6EE9" w14:textId="77777777" w:rsidTr="00A4763F">
        <w:trPr>
          <w:trHeight w:val="309"/>
          <w:jc w:val="center"/>
        </w:trPr>
        <w:tc>
          <w:tcPr>
            <w:tcW w:w="2507" w:type="dxa"/>
            <w:vMerge w:val="restart"/>
            <w:tcBorders>
              <w:top w:val="nil"/>
              <w:left w:val="single" w:sz="4" w:space="0" w:color="auto"/>
              <w:bottom w:val="single" w:sz="8" w:space="0" w:color="auto"/>
              <w:right w:val="single" w:sz="8" w:space="0" w:color="auto"/>
            </w:tcBorders>
            <w:shd w:val="clear" w:color="auto" w:fill="B1A0C7"/>
            <w:vAlign w:val="bottom"/>
          </w:tcPr>
          <w:p w14:paraId="2FA32CCF" w14:textId="77777777" w:rsidR="00CE2445" w:rsidRPr="00CE2445" w:rsidRDefault="00CE2445" w:rsidP="00CE2445">
            <w:pPr>
              <w:spacing w:line="256" w:lineRule="auto"/>
              <w:ind w:left="-66"/>
              <w:rPr>
                <w:b/>
                <w:bCs/>
                <w:sz w:val="14"/>
                <w:szCs w:val="14"/>
                <w:lang w:val="en-US" w:eastAsia="es-MX"/>
              </w:rPr>
            </w:pPr>
            <w:proofErr w:type="spellStart"/>
            <w:r w:rsidRPr="00CE2445">
              <w:rPr>
                <w:b/>
                <w:bCs/>
                <w:sz w:val="14"/>
                <w:szCs w:val="14"/>
                <w:lang w:val="en-US" w:eastAsia="es-MX"/>
              </w:rPr>
              <w:t>Ingresos</w:t>
            </w:r>
            <w:proofErr w:type="spellEnd"/>
            <w:r w:rsidRPr="00CE2445">
              <w:rPr>
                <w:b/>
                <w:bCs/>
                <w:sz w:val="14"/>
                <w:szCs w:val="14"/>
                <w:lang w:val="en-US" w:eastAsia="es-MX"/>
              </w:rPr>
              <w:t xml:space="preserve"> de Fuentes Locales</w:t>
            </w:r>
          </w:p>
          <w:p w14:paraId="21FACBC1" w14:textId="77777777" w:rsidR="00CE2445" w:rsidRPr="00CE2445" w:rsidRDefault="00CE2445" w:rsidP="00CE2445">
            <w:pPr>
              <w:spacing w:line="256" w:lineRule="auto"/>
              <w:ind w:left="-66"/>
              <w:rPr>
                <w:b/>
                <w:bCs/>
                <w:sz w:val="14"/>
                <w:szCs w:val="14"/>
                <w:lang w:val="en-US" w:eastAsia="es-MX"/>
              </w:rPr>
            </w:pPr>
            <w:r w:rsidRPr="00CE2445">
              <w:rPr>
                <w:b/>
                <w:bCs/>
                <w:sz w:val="14"/>
                <w:szCs w:val="14"/>
                <w:lang w:val="en-US" w:eastAsia="es-MX"/>
              </w:rPr>
              <w:t xml:space="preserve"> </w:t>
            </w:r>
          </w:p>
          <w:p w14:paraId="2D677AB0" w14:textId="77777777" w:rsidR="00CE2445" w:rsidRPr="00CE2445" w:rsidRDefault="00CE2445" w:rsidP="00CE2445">
            <w:pPr>
              <w:spacing w:line="256" w:lineRule="auto"/>
              <w:ind w:left="-66"/>
              <w:jc w:val="center"/>
              <w:rPr>
                <w:b/>
                <w:bCs/>
                <w:sz w:val="14"/>
                <w:szCs w:val="14"/>
                <w:lang w:val="en-US" w:eastAsia="es-MX"/>
              </w:rPr>
            </w:pPr>
          </w:p>
        </w:tc>
        <w:tc>
          <w:tcPr>
            <w:tcW w:w="1051" w:type="dxa"/>
            <w:vMerge w:val="restart"/>
            <w:tcBorders>
              <w:top w:val="nil"/>
              <w:left w:val="single" w:sz="8" w:space="0" w:color="auto"/>
              <w:bottom w:val="single" w:sz="8" w:space="0" w:color="000000"/>
              <w:right w:val="single" w:sz="8" w:space="0" w:color="auto"/>
            </w:tcBorders>
            <w:shd w:val="clear" w:color="auto" w:fill="B1A0C7"/>
            <w:vAlign w:val="center"/>
            <w:hideMark/>
          </w:tcPr>
          <w:p w14:paraId="75DA8807" w14:textId="77777777" w:rsidR="00CE2445" w:rsidRPr="00CE2445" w:rsidRDefault="00CE2445" w:rsidP="00CE2445">
            <w:pPr>
              <w:spacing w:line="256" w:lineRule="auto"/>
              <w:ind w:left="-66"/>
              <w:jc w:val="center"/>
              <w:rPr>
                <w:b/>
                <w:bCs/>
                <w:sz w:val="14"/>
                <w:szCs w:val="14"/>
                <w:lang w:val="en-US" w:eastAsia="es-MX"/>
              </w:rPr>
            </w:pPr>
            <w:r w:rsidRPr="00CE2445">
              <w:rPr>
                <w:b/>
                <w:bCs/>
                <w:sz w:val="14"/>
                <w:szCs w:val="14"/>
                <w:lang w:val="en-US" w:eastAsia="es-MX"/>
              </w:rPr>
              <w:t xml:space="preserve"> </w:t>
            </w:r>
            <w:proofErr w:type="spellStart"/>
            <w:r w:rsidRPr="00CE2445">
              <w:rPr>
                <w:b/>
                <w:bCs/>
                <w:sz w:val="14"/>
                <w:szCs w:val="14"/>
                <w:lang w:val="en-US" w:eastAsia="es-MX"/>
              </w:rPr>
              <w:t>Ejercicio</w:t>
            </w:r>
            <w:proofErr w:type="spellEnd"/>
            <w:r w:rsidRPr="00CE2445">
              <w:rPr>
                <w:b/>
                <w:bCs/>
                <w:sz w:val="14"/>
                <w:szCs w:val="14"/>
                <w:lang w:val="en-US" w:eastAsia="es-MX"/>
              </w:rPr>
              <w:t xml:space="preserve"> 2020 </w:t>
            </w:r>
          </w:p>
        </w:tc>
        <w:tc>
          <w:tcPr>
            <w:tcW w:w="1051" w:type="dxa"/>
            <w:vMerge w:val="restart"/>
            <w:tcBorders>
              <w:top w:val="nil"/>
              <w:left w:val="single" w:sz="8" w:space="0" w:color="auto"/>
              <w:bottom w:val="single" w:sz="8" w:space="0" w:color="000000"/>
              <w:right w:val="single" w:sz="8" w:space="0" w:color="auto"/>
            </w:tcBorders>
            <w:shd w:val="clear" w:color="auto" w:fill="B1A0C7"/>
            <w:vAlign w:val="center"/>
            <w:hideMark/>
          </w:tcPr>
          <w:p w14:paraId="5BA1696E" w14:textId="77777777" w:rsidR="00CE2445" w:rsidRPr="00CE2445" w:rsidRDefault="00CE2445" w:rsidP="00CE2445">
            <w:pPr>
              <w:spacing w:line="256" w:lineRule="auto"/>
              <w:ind w:left="-66"/>
              <w:jc w:val="center"/>
              <w:rPr>
                <w:b/>
                <w:bCs/>
                <w:sz w:val="14"/>
                <w:szCs w:val="14"/>
                <w:lang w:val="en-US" w:eastAsia="es-MX"/>
              </w:rPr>
            </w:pPr>
            <w:r w:rsidRPr="00CE2445">
              <w:rPr>
                <w:b/>
                <w:bCs/>
                <w:sz w:val="14"/>
                <w:szCs w:val="14"/>
                <w:lang w:val="en-US" w:eastAsia="es-MX"/>
              </w:rPr>
              <w:t xml:space="preserve"> </w:t>
            </w:r>
            <w:proofErr w:type="spellStart"/>
            <w:r w:rsidRPr="00CE2445">
              <w:rPr>
                <w:b/>
                <w:bCs/>
                <w:sz w:val="14"/>
                <w:szCs w:val="14"/>
                <w:lang w:val="en-US" w:eastAsia="es-MX"/>
              </w:rPr>
              <w:t>Ejercicio</w:t>
            </w:r>
            <w:proofErr w:type="spellEnd"/>
            <w:r w:rsidRPr="00CE2445">
              <w:rPr>
                <w:b/>
                <w:bCs/>
                <w:sz w:val="14"/>
                <w:szCs w:val="14"/>
                <w:lang w:val="en-US" w:eastAsia="es-MX"/>
              </w:rPr>
              <w:t xml:space="preserve"> 2021 </w:t>
            </w:r>
          </w:p>
        </w:tc>
        <w:tc>
          <w:tcPr>
            <w:tcW w:w="1181" w:type="dxa"/>
            <w:vMerge w:val="restart"/>
            <w:tcBorders>
              <w:top w:val="nil"/>
              <w:left w:val="single" w:sz="8" w:space="0" w:color="auto"/>
              <w:bottom w:val="single" w:sz="8" w:space="0" w:color="000000"/>
              <w:right w:val="single" w:sz="8" w:space="0" w:color="auto"/>
            </w:tcBorders>
            <w:shd w:val="clear" w:color="auto" w:fill="B1A0C7"/>
            <w:vAlign w:val="center"/>
            <w:hideMark/>
          </w:tcPr>
          <w:p w14:paraId="5A568896" w14:textId="77777777" w:rsidR="00CE2445" w:rsidRPr="00CE2445" w:rsidRDefault="00CE2445" w:rsidP="00CE2445">
            <w:pPr>
              <w:spacing w:line="256" w:lineRule="auto"/>
              <w:ind w:left="-66"/>
              <w:jc w:val="center"/>
              <w:rPr>
                <w:b/>
                <w:bCs/>
                <w:sz w:val="14"/>
                <w:szCs w:val="14"/>
                <w:lang w:val="en-US" w:eastAsia="es-MX"/>
              </w:rPr>
            </w:pPr>
            <w:r w:rsidRPr="00CE2445">
              <w:rPr>
                <w:b/>
                <w:bCs/>
                <w:sz w:val="14"/>
                <w:szCs w:val="14"/>
                <w:lang w:val="en-US" w:eastAsia="es-MX"/>
              </w:rPr>
              <w:t xml:space="preserve"> </w:t>
            </w:r>
            <w:proofErr w:type="spellStart"/>
            <w:r w:rsidRPr="00CE2445">
              <w:rPr>
                <w:b/>
                <w:bCs/>
                <w:sz w:val="14"/>
                <w:szCs w:val="14"/>
                <w:lang w:val="en-US" w:eastAsia="es-MX"/>
              </w:rPr>
              <w:t>Ejercicio</w:t>
            </w:r>
            <w:proofErr w:type="spellEnd"/>
            <w:r w:rsidRPr="00CE2445">
              <w:rPr>
                <w:b/>
                <w:bCs/>
                <w:sz w:val="14"/>
                <w:szCs w:val="14"/>
                <w:lang w:val="en-US" w:eastAsia="es-MX"/>
              </w:rPr>
              <w:t xml:space="preserve"> 2022 </w:t>
            </w:r>
          </w:p>
        </w:tc>
        <w:tc>
          <w:tcPr>
            <w:tcW w:w="1051" w:type="dxa"/>
            <w:vMerge w:val="restart"/>
            <w:tcBorders>
              <w:top w:val="nil"/>
              <w:left w:val="single" w:sz="8" w:space="0" w:color="auto"/>
              <w:bottom w:val="single" w:sz="8" w:space="0" w:color="000000"/>
              <w:right w:val="single" w:sz="8" w:space="0" w:color="auto"/>
            </w:tcBorders>
            <w:shd w:val="clear" w:color="auto" w:fill="B1A0C7"/>
            <w:vAlign w:val="center"/>
            <w:hideMark/>
          </w:tcPr>
          <w:p w14:paraId="44C2C459" w14:textId="77777777" w:rsidR="00CE2445" w:rsidRPr="00CE2445" w:rsidRDefault="00CE2445" w:rsidP="00CE2445">
            <w:pPr>
              <w:spacing w:line="256" w:lineRule="auto"/>
              <w:ind w:left="-66"/>
              <w:jc w:val="center"/>
              <w:rPr>
                <w:b/>
                <w:bCs/>
                <w:sz w:val="14"/>
                <w:szCs w:val="14"/>
                <w:lang w:val="en-US" w:eastAsia="es-MX"/>
              </w:rPr>
            </w:pPr>
            <w:r w:rsidRPr="00CE2445">
              <w:rPr>
                <w:b/>
                <w:bCs/>
                <w:sz w:val="14"/>
                <w:szCs w:val="14"/>
                <w:lang w:val="en-US" w:eastAsia="es-MX"/>
              </w:rPr>
              <w:t xml:space="preserve"> </w:t>
            </w:r>
            <w:proofErr w:type="spellStart"/>
            <w:r w:rsidRPr="00CE2445">
              <w:rPr>
                <w:b/>
                <w:bCs/>
                <w:sz w:val="14"/>
                <w:szCs w:val="14"/>
                <w:lang w:val="en-US" w:eastAsia="es-MX"/>
              </w:rPr>
              <w:t>Ejercicio</w:t>
            </w:r>
            <w:proofErr w:type="spellEnd"/>
            <w:r w:rsidRPr="00CE2445">
              <w:rPr>
                <w:b/>
                <w:bCs/>
                <w:sz w:val="14"/>
                <w:szCs w:val="14"/>
                <w:lang w:val="en-US" w:eastAsia="es-MX"/>
              </w:rPr>
              <w:t xml:space="preserve"> 2023 </w:t>
            </w:r>
          </w:p>
        </w:tc>
        <w:tc>
          <w:tcPr>
            <w:tcW w:w="1065" w:type="dxa"/>
            <w:vMerge w:val="restart"/>
            <w:tcBorders>
              <w:top w:val="nil"/>
              <w:left w:val="single" w:sz="8" w:space="0" w:color="auto"/>
              <w:bottom w:val="single" w:sz="8" w:space="0" w:color="000000"/>
              <w:right w:val="single" w:sz="8" w:space="0" w:color="auto"/>
            </w:tcBorders>
            <w:shd w:val="clear" w:color="auto" w:fill="B1A0C7"/>
            <w:vAlign w:val="center"/>
            <w:hideMark/>
          </w:tcPr>
          <w:p w14:paraId="7EF36CB6" w14:textId="77777777" w:rsidR="00CE2445" w:rsidRPr="00CE2445" w:rsidRDefault="00CE2445" w:rsidP="00CE2445">
            <w:pPr>
              <w:spacing w:line="256" w:lineRule="auto"/>
              <w:ind w:left="-66"/>
              <w:jc w:val="center"/>
              <w:rPr>
                <w:b/>
                <w:bCs/>
                <w:sz w:val="14"/>
                <w:szCs w:val="14"/>
                <w:lang w:val="en-US" w:eastAsia="es-MX"/>
              </w:rPr>
            </w:pPr>
            <w:r w:rsidRPr="00CE2445">
              <w:rPr>
                <w:b/>
                <w:bCs/>
                <w:sz w:val="14"/>
                <w:szCs w:val="14"/>
                <w:lang w:val="en-US" w:eastAsia="es-MX"/>
              </w:rPr>
              <w:t xml:space="preserve"> Cierre 2024* </w:t>
            </w:r>
          </w:p>
        </w:tc>
      </w:tr>
      <w:tr w:rsidR="00CE2445" w:rsidRPr="00CE2445" w14:paraId="224C390D" w14:textId="77777777" w:rsidTr="00A4763F">
        <w:trPr>
          <w:trHeight w:val="309"/>
          <w:jc w:val="center"/>
        </w:trPr>
        <w:tc>
          <w:tcPr>
            <w:tcW w:w="2507" w:type="dxa"/>
            <w:vMerge/>
            <w:tcBorders>
              <w:top w:val="nil"/>
              <w:left w:val="single" w:sz="4" w:space="0" w:color="auto"/>
              <w:bottom w:val="single" w:sz="8" w:space="0" w:color="auto"/>
              <w:right w:val="single" w:sz="8" w:space="0" w:color="auto"/>
            </w:tcBorders>
            <w:vAlign w:val="center"/>
            <w:hideMark/>
          </w:tcPr>
          <w:p w14:paraId="6811D6F4" w14:textId="77777777" w:rsidR="00CE2445" w:rsidRPr="00CE2445" w:rsidRDefault="00CE2445" w:rsidP="00CE2445">
            <w:pPr>
              <w:spacing w:line="256" w:lineRule="auto"/>
              <w:rPr>
                <w:b/>
                <w:bCs/>
                <w:sz w:val="14"/>
                <w:szCs w:val="14"/>
                <w:lang w:val="en-US" w:eastAsia="es-MX"/>
              </w:rPr>
            </w:pPr>
          </w:p>
        </w:tc>
        <w:tc>
          <w:tcPr>
            <w:tcW w:w="1051" w:type="dxa"/>
            <w:vMerge/>
            <w:tcBorders>
              <w:top w:val="nil"/>
              <w:left w:val="single" w:sz="8" w:space="0" w:color="auto"/>
              <w:bottom w:val="single" w:sz="8" w:space="0" w:color="000000"/>
              <w:right w:val="single" w:sz="8" w:space="0" w:color="auto"/>
            </w:tcBorders>
            <w:vAlign w:val="center"/>
            <w:hideMark/>
          </w:tcPr>
          <w:p w14:paraId="0F704794" w14:textId="77777777" w:rsidR="00CE2445" w:rsidRPr="00CE2445" w:rsidRDefault="00CE2445" w:rsidP="00CE2445">
            <w:pPr>
              <w:spacing w:line="256" w:lineRule="auto"/>
              <w:rPr>
                <w:b/>
                <w:bCs/>
                <w:sz w:val="14"/>
                <w:szCs w:val="14"/>
                <w:lang w:val="en-US" w:eastAsia="es-MX"/>
              </w:rPr>
            </w:pPr>
          </w:p>
        </w:tc>
        <w:tc>
          <w:tcPr>
            <w:tcW w:w="1051" w:type="dxa"/>
            <w:vMerge/>
            <w:tcBorders>
              <w:top w:val="nil"/>
              <w:left w:val="single" w:sz="8" w:space="0" w:color="auto"/>
              <w:bottom w:val="single" w:sz="8" w:space="0" w:color="000000"/>
              <w:right w:val="single" w:sz="8" w:space="0" w:color="auto"/>
            </w:tcBorders>
            <w:vAlign w:val="center"/>
            <w:hideMark/>
          </w:tcPr>
          <w:p w14:paraId="6176B2AF" w14:textId="77777777" w:rsidR="00CE2445" w:rsidRPr="00CE2445" w:rsidRDefault="00CE2445" w:rsidP="00CE2445">
            <w:pPr>
              <w:spacing w:line="256" w:lineRule="auto"/>
              <w:rPr>
                <w:b/>
                <w:bCs/>
                <w:sz w:val="14"/>
                <w:szCs w:val="14"/>
                <w:lang w:val="en-US" w:eastAsia="es-MX"/>
              </w:rPr>
            </w:pPr>
          </w:p>
        </w:tc>
        <w:tc>
          <w:tcPr>
            <w:tcW w:w="1181" w:type="dxa"/>
            <w:vMerge/>
            <w:tcBorders>
              <w:top w:val="nil"/>
              <w:left w:val="single" w:sz="8" w:space="0" w:color="auto"/>
              <w:bottom w:val="single" w:sz="8" w:space="0" w:color="000000"/>
              <w:right w:val="single" w:sz="8" w:space="0" w:color="auto"/>
            </w:tcBorders>
            <w:vAlign w:val="center"/>
            <w:hideMark/>
          </w:tcPr>
          <w:p w14:paraId="21B1CD13" w14:textId="77777777" w:rsidR="00CE2445" w:rsidRPr="00CE2445" w:rsidRDefault="00CE2445" w:rsidP="00CE2445">
            <w:pPr>
              <w:spacing w:line="256" w:lineRule="auto"/>
              <w:rPr>
                <w:b/>
                <w:bCs/>
                <w:sz w:val="14"/>
                <w:szCs w:val="14"/>
                <w:lang w:val="en-US" w:eastAsia="es-MX"/>
              </w:rPr>
            </w:pPr>
          </w:p>
        </w:tc>
        <w:tc>
          <w:tcPr>
            <w:tcW w:w="1051" w:type="dxa"/>
            <w:vMerge/>
            <w:tcBorders>
              <w:top w:val="nil"/>
              <w:left w:val="single" w:sz="8" w:space="0" w:color="auto"/>
              <w:bottom w:val="single" w:sz="8" w:space="0" w:color="000000"/>
              <w:right w:val="single" w:sz="8" w:space="0" w:color="auto"/>
            </w:tcBorders>
            <w:vAlign w:val="center"/>
            <w:hideMark/>
          </w:tcPr>
          <w:p w14:paraId="3D152227" w14:textId="77777777" w:rsidR="00CE2445" w:rsidRPr="00CE2445" w:rsidRDefault="00CE2445" w:rsidP="00CE2445">
            <w:pPr>
              <w:spacing w:line="256" w:lineRule="auto"/>
              <w:rPr>
                <w:b/>
                <w:bCs/>
                <w:sz w:val="14"/>
                <w:szCs w:val="14"/>
                <w:lang w:val="en-US" w:eastAsia="es-MX"/>
              </w:rPr>
            </w:pPr>
          </w:p>
        </w:tc>
        <w:tc>
          <w:tcPr>
            <w:tcW w:w="1065" w:type="dxa"/>
            <w:vMerge/>
            <w:tcBorders>
              <w:top w:val="nil"/>
              <w:left w:val="single" w:sz="8" w:space="0" w:color="auto"/>
              <w:bottom w:val="single" w:sz="8" w:space="0" w:color="000000"/>
              <w:right w:val="single" w:sz="8" w:space="0" w:color="auto"/>
            </w:tcBorders>
            <w:vAlign w:val="center"/>
            <w:hideMark/>
          </w:tcPr>
          <w:p w14:paraId="6ECBFA3F" w14:textId="77777777" w:rsidR="00CE2445" w:rsidRPr="00CE2445" w:rsidRDefault="00CE2445" w:rsidP="00CE2445">
            <w:pPr>
              <w:spacing w:line="256" w:lineRule="auto"/>
              <w:rPr>
                <w:b/>
                <w:bCs/>
                <w:sz w:val="14"/>
                <w:szCs w:val="14"/>
                <w:lang w:val="en-US" w:eastAsia="es-MX"/>
              </w:rPr>
            </w:pPr>
          </w:p>
        </w:tc>
      </w:tr>
      <w:tr w:rsidR="00CE2445" w:rsidRPr="00CE2445" w14:paraId="1E48E3A0" w14:textId="77777777" w:rsidTr="00A4763F">
        <w:trPr>
          <w:trHeight w:val="150"/>
          <w:jc w:val="center"/>
        </w:trPr>
        <w:tc>
          <w:tcPr>
            <w:tcW w:w="2507" w:type="dxa"/>
            <w:tcBorders>
              <w:top w:val="single" w:sz="8" w:space="0" w:color="auto"/>
              <w:left w:val="single" w:sz="8" w:space="0" w:color="auto"/>
              <w:bottom w:val="nil"/>
              <w:right w:val="single" w:sz="8" w:space="0" w:color="auto"/>
            </w:tcBorders>
            <w:vAlign w:val="bottom"/>
            <w:hideMark/>
          </w:tcPr>
          <w:p w14:paraId="61356C6E" w14:textId="77777777" w:rsidR="00CE2445" w:rsidRPr="00CE2445" w:rsidRDefault="00CE2445" w:rsidP="00CE2445">
            <w:pPr>
              <w:spacing w:line="256" w:lineRule="auto"/>
              <w:ind w:left="-66"/>
              <w:rPr>
                <w:b/>
                <w:bCs/>
                <w:sz w:val="14"/>
                <w:szCs w:val="14"/>
                <w:lang w:val="en-US" w:eastAsia="es-MX"/>
              </w:rPr>
            </w:pPr>
            <w:proofErr w:type="spellStart"/>
            <w:r w:rsidRPr="00CE2445">
              <w:rPr>
                <w:b/>
                <w:bCs/>
                <w:sz w:val="14"/>
                <w:szCs w:val="14"/>
                <w:lang w:val="en-US" w:eastAsia="es-MX"/>
              </w:rPr>
              <w:t>Impuestos</w:t>
            </w:r>
            <w:proofErr w:type="spellEnd"/>
          </w:p>
        </w:tc>
        <w:tc>
          <w:tcPr>
            <w:tcW w:w="1051" w:type="dxa"/>
            <w:tcBorders>
              <w:top w:val="nil"/>
              <w:left w:val="nil"/>
              <w:bottom w:val="nil"/>
              <w:right w:val="single" w:sz="8" w:space="0" w:color="auto"/>
            </w:tcBorders>
            <w:noWrap/>
            <w:vAlign w:val="bottom"/>
            <w:hideMark/>
          </w:tcPr>
          <w:p w14:paraId="598DA774"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560,962,697 </w:t>
            </w:r>
          </w:p>
        </w:tc>
        <w:tc>
          <w:tcPr>
            <w:tcW w:w="1051" w:type="dxa"/>
            <w:tcBorders>
              <w:top w:val="nil"/>
              <w:left w:val="nil"/>
              <w:bottom w:val="nil"/>
              <w:right w:val="single" w:sz="8" w:space="0" w:color="auto"/>
            </w:tcBorders>
            <w:noWrap/>
            <w:vAlign w:val="bottom"/>
            <w:hideMark/>
          </w:tcPr>
          <w:p w14:paraId="2A5DF1C5"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623,414,456 </w:t>
            </w:r>
          </w:p>
        </w:tc>
        <w:tc>
          <w:tcPr>
            <w:tcW w:w="1181" w:type="dxa"/>
            <w:tcBorders>
              <w:top w:val="nil"/>
              <w:left w:val="nil"/>
              <w:bottom w:val="nil"/>
              <w:right w:val="single" w:sz="8" w:space="0" w:color="auto"/>
            </w:tcBorders>
            <w:noWrap/>
            <w:vAlign w:val="bottom"/>
            <w:hideMark/>
          </w:tcPr>
          <w:p w14:paraId="7110EA3B"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746,947,529 </w:t>
            </w:r>
          </w:p>
        </w:tc>
        <w:tc>
          <w:tcPr>
            <w:tcW w:w="1051" w:type="dxa"/>
            <w:tcBorders>
              <w:top w:val="nil"/>
              <w:left w:val="nil"/>
              <w:bottom w:val="nil"/>
              <w:right w:val="single" w:sz="8" w:space="0" w:color="auto"/>
            </w:tcBorders>
            <w:noWrap/>
            <w:vAlign w:val="bottom"/>
            <w:hideMark/>
          </w:tcPr>
          <w:p w14:paraId="30F6C734"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864,347,652</w:t>
            </w:r>
          </w:p>
        </w:tc>
        <w:tc>
          <w:tcPr>
            <w:tcW w:w="1065" w:type="dxa"/>
            <w:tcBorders>
              <w:top w:val="nil"/>
              <w:left w:val="nil"/>
              <w:bottom w:val="nil"/>
              <w:right w:val="single" w:sz="8" w:space="0" w:color="auto"/>
            </w:tcBorders>
            <w:noWrap/>
            <w:vAlign w:val="bottom"/>
            <w:hideMark/>
          </w:tcPr>
          <w:p w14:paraId="0644F3C8"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985,260,509</w:t>
            </w:r>
          </w:p>
        </w:tc>
      </w:tr>
      <w:tr w:rsidR="00CE2445" w:rsidRPr="00CE2445" w14:paraId="378B58B9" w14:textId="77777777" w:rsidTr="00A4763F">
        <w:trPr>
          <w:trHeight w:val="150"/>
          <w:jc w:val="center"/>
        </w:trPr>
        <w:tc>
          <w:tcPr>
            <w:tcW w:w="2507" w:type="dxa"/>
            <w:tcBorders>
              <w:top w:val="nil"/>
              <w:left w:val="single" w:sz="8" w:space="0" w:color="auto"/>
              <w:bottom w:val="nil"/>
              <w:right w:val="single" w:sz="8" w:space="0" w:color="auto"/>
            </w:tcBorders>
            <w:vAlign w:val="bottom"/>
            <w:hideMark/>
          </w:tcPr>
          <w:p w14:paraId="6D512BCB" w14:textId="77777777" w:rsidR="00CE2445" w:rsidRPr="00CE2445" w:rsidRDefault="00CE2445" w:rsidP="00CE2445">
            <w:pPr>
              <w:spacing w:line="256" w:lineRule="auto"/>
              <w:ind w:left="-66"/>
              <w:rPr>
                <w:b/>
                <w:bCs/>
                <w:sz w:val="14"/>
                <w:szCs w:val="14"/>
                <w:lang w:val="en-US" w:eastAsia="es-MX"/>
              </w:rPr>
            </w:pPr>
            <w:r w:rsidRPr="00CE2445">
              <w:rPr>
                <w:b/>
                <w:bCs/>
                <w:sz w:val="14"/>
                <w:szCs w:val="14"/>
                <w:lang w:val="en-US" w:eastAsia="es-MX"/>
              </w:rPr>
              <w:t>Derechos</w:t>
            </w:r>
          </w:p>
        </w:tc>
        <w:tc>
          <w:tcPr>
            <w:tcW w:w="1051" w:type="dxa"/>
            <w:tcBorders>
              <w:top w:val="nil"/>
              <w:left w:val="nil"/>
              <w:bottom w:val="nil"/>
              <w:right w:val="single" w:sz="8" w:space="0" w:color="auto"/>
            </w:tcBorders>
            <w:noWrap/>
            <w:vAlign w:val="bottom"/>
            <w:hideMark/>
          </w:tcPr>
          <w:p w14:paraId="5E09ED33"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344,598,467 </w:t>
            </w:r>
          </w:p>
        </w:tc>
        <w:tc>
          <w:tcPr>
            <w:tcW w:w="1051" w:type="dxa"/>
            <w:tcBorders>
              <w:top w:val="nil"/>
              <w:left w:val="nil"/>
              <w:bottom w:val="nil"/>
              <w:right w:val="single" w:sz="8" w:space="0" w:color="auto"/>
            </w:tcBorders>
            <w:noWrap/>
            <w:vAlign w:val="bottom"/>
            <w:hideMark/>
          </w:tcPr>
          <w:p w14:paraId="3DDDB171"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482,822,379 </w:t>
            </w:r>
          </w:p>
        </w:tc>
        <w:tc>
          <w:tcPr>
            <w:tcW w:w="1181" w:type="dxa"/>
            <w:tcBorders>
              <w:top w:val="nil"/>
              <w:left w:val="nil"/>
              <w:bottom w:val="nil"/>
              <w:right w:val="single" w:sz="8" w:space="0" w:color="auto"/>
            </w:tcBorders>
            <w:noWrap/>
            <w:vAlign w:val="bottom"/>
            <w:hideMark/>
          </w:tcPr>
          <w:p w14:paraId="7CED15D0"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526,855,506 </w:t>
            </w:r>
          </w:p>
        </w:tc>
        <w:tc>
          <w:tcPr>
            <w:tcW w:w="1051" w:type="dxa"/>
            <w:tcBorders>
              <w:top w:val="nil"/>
              <w:left w:val="nil"/>
              <w:bottom w:val="nil"/>
              <w:right w:val="single" w:sz="8" w:space="0" w:color="auto"/>
            </w:tcBorders>
            <w:noWrap/>
            <w:vAlign w:val="bottom"/>
            <w:hideMark/>
          </w:tcPr>
          <w:p w14:paraId="2E6ABDA1"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715,086,289</w:t>
            </w:r>
          </w:p>
        </w:tc>
        <w:tc>
          <w:tcPr>
            <w:tcW w:w="1065" w:type="dxa"/>
            <w:tcBorders>
              <w:top w:val="nil"/>
              <w:left w:val="nil"/>
              <w:bottom w:val="nil"/>
              <w:right w:val="single" w:sz="8" w:space="0" w:color="auto"/>
            </w:tcBorders>
            <w:noWrap/>
            <w:vAlign w:val="bottom"/>
            <w:hideMark/>
          </w:tcPr>
          <w:p w14:paraId="4FF9A713"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661,173,127</w:t>
            </w:r>
          </w:p>
        </w:tc>
      </w:tr>
      <w:tr w:rsidR="00CE2445" w:rsidRPr="00CE2445" w14:paraId="1F73ECE3" w14:textId="77777777" w:rsidTr="00A4763F">
        <w:trPr>
          <w:trHeight w:val="150"/>
          <w:jc w:val="center"/>
        </w:trPr>
        <w:tc>
          <w:tcPr>
            <w:tcW w:w="2507" w:type="dxa"/>
            <w:tcBorders>
              <w:top w:val="nil"/>
              <w:left w:val="single" w:sz="8" w:space="0" w:color="auto"/>
              <w:bottom w:val="nil"/>
              <w:right w:val="single" w:sz="8" w:space="0" w:color="auto"/>
            </w:tcBorders>
            <w:vAlign w:val="bottom"/>
            <w:hideMark/>
          </w:tcPr>
          <w:p w14:paraId="77D77C5B" w14:textId="77777777" w:rsidR="00CE2445" w:rsidRPr="00CE2445" w:rsidRDefault="00CE2445" w:rsidP="00CE2445">
            <w:pPr>
              <w:spacing w:line="256" w:lineRule="auto"/>
              <w:ind w:left="-66"/>
              <w:rPr>
                <w:b/>
                <w:bCs/>
                <w:sz w:val="14"/>
                <w:szCs w:val="14"/>
                <w:lang w:val="en-US" w:eastAsia="es-MX"/>
              </w:rPr>
            </w:pPr>
            <w:proofErr w:type="spellStart"/>
            <w:r w:rsidRPr="00CE2445">
              <w:rPr>
                <w:b/>
                <w:bCs/>
                <w:sz w:val="14"/>
                <w:szCs w:val="14"/>
                <w:lang w:val="en-US" w:eastAsia="es-MX"/>
              </w:rPr>
              <w:t>Productos</w:t>
            </w:r>
            <w:proofErr w:type="spellEnd"/>
          </w:p>
        </w:tc>
        <w:tc>
          <w:tcPr>
            <w:tcW w:w="1051" w:type="dxa"/>
            <w:tcBorders>
              <w:top w:val="nil"/>
              <w:left w:val="nil"/>
              <w:bottom w:val="nil"/>
              <w:right w:val="single" w:sz="8" w:space="0" w:color="auto"/>
            </w:tcBorders>
            <w:noWrap/>
            <w:vAlign w:val="bottom"/>
            <w:hideMark/>
          </w:tcPr>
          <w:p w14:paraId="20CAB662"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189,686,004 </w:t>
            </w:r>
          </w:p>
        </w:tc>
        <w:tc>
          <w:tcPr>
            <w:tcW w:w="1051" w:type="dxa"/>
            <w:tcBorders>
              <w:top w:val="nil"/>
              <w:left w:val="nil"/>
              <w:bottom w:val="nil"/>
              <w:right w:val="single" w:sz="8" w:space="0" w:color="auto"/>
            </w:tcBorders>
            <w:noWrap/>
            <w:vAlign w:val="bottom"/>
            <w:hideMark/>
          </w:tcPr>
          <w:p w14:paraId="1BC382E1"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118,104,463 </w:t>
            </w:r>
          </w:p>
        </w:tc>
        <w:tc>
          <w:tcPr>
            <w:tcW w:w="1181" w:type="dxa"/>
            <w:tcBorders>
              <w:top w:val="nil"/>
              <w:left w:val="nil"/>
              <w:bottom w:val="nil"/>
              <w:right w:val="single" w:sz="8" w:space="0" w:color="auto"/>
            </w:tcBorders>
            <w:noWrap/>
            <w:vAlign w:val="bottom"/>
            <w:hideMark/>
          </w:tcPr>
          <w:p w14:paraId="3680AAD6"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181,857,532 </w:t>
            </w:r>
          </w:p>
        </w:tc>
        <w:tc>
          <w:tcPr>
            <w:tcW w:w="1051" w:type="dxa"/>
            <w:tcBorders>
              <w:top w:val="nil"/>
              <w:left w:val="nil"/>
              <w:bottom w:val="nil"/>
              <w:right w:val="single" w:sz="8" w:space="0" w:color="auto"/>
            </w:tcBorders>
            <w:noWrap/>
            <w:vAlign w:val="bottom"/>
            <w:hideMark/>
          </w:tcPr>
          <w:p w14:paraId="012696F5"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332,687,512</w:t>
            </w:r>
          </w:p>
        </w:tc>
        <w:tc>
          <w:tcPr>
            <w:tcW w:w="1065" w:type="dxa"/>
            <w:tcBorders>
              <w:top w:val="nil"/>
              <w:left w:val="nil"/>
              <w:bottom w:val="nil"/>
              <w:right w:val="single" w:sz="8" w:space="0" w:color="auto"/>
            </w:tcBorders>
            <w:noWrap/>
            <w:vAlign w:val="bottom"/>
            <w:hideMark/>
          </w:tcPr>
          <w:p w14:paraId="4079E5DC"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336,372,786</w:t>
            </w:r>
          </w:p>
        </w:tc>
      </w:tr>
      <w:tr w:rsidR="00CE2445" w:rsidRPr="00CE2445" w14:paraId="49542EA3" w14:textId="77777777" w:rsidTr="00A4763F">
        <w:trPr>
          <w:trHeight w:val="150"/>
          <w:jc w:val="center"/>
        </w:trPr>
        <w:tc>
          <w:tcPr>
            <w:tcW w:w="2507" w:type="dxa"/>
            <w:tcBorders>
              <w:top w:val="nil"/>
              <w:left w:val="single" w:sz="8" w:space="0" w:color="auto"/>
              <w:bottom w:val="nil"/>
              <w:right w:val="single" w:sz="8" w:space="0" w:color="auto"/>
            </w:tcBorders>
            <w:vAlign w:val="bottom"/>
            <w:hideMark/>
          </w:tcPr>
          <w:p w14:paraId="3D5375BD" w14:textId="77777777" w:rsidR="00CE2445" w:rsidRPr="00CE2445" w:rsidRDefault="00CE2445" w:rsidP="00CE2445">
            <w:pPr>
              <w:spacing w:line="256" w:lineRule="auto"/>
              <w:ind w:left="-66"/>
              <w:rPr>
                <w:b/>
                <w:bCs/>
                <w:sz w:val="14"/>
                <w:szCs w:val="14"/>
                <w:lang w:val="en-US" w:eastAsia="es-MX"/>
              </w:rPr>
            </w:pPr>
            <w:proofErr w:type="spellStart"/>
            <w:r w:rsidRPr="00CE2445">
              <w:rPr>
                <w:b/>
                <w:bCs/>
                <w:sz w:val="14"/>
                <w:szCs w:val="14"/>
                <w:lang w:val="en-US" w:eastAsia="es-MX"/>
              </w:rPr>
              <w:t>Aprovechamientos</w:t>
            </w:r>
            <w:proofErr w:type="spellEnd"/>
          </w:p>
        </w:tc>
        <w:tc>
          <w:tcPr>
            <w:tcW w:w="1051" w:type="dxa"/>
            <w:tcBorders>
              <w:top w:val="nil"/>
              <w:left w:val="nil"/>
              <w:bottom w:val="nil"/>
              <w:right w:val="single" w:sz="8" w:space="0" w:color="auto"/>
            </w:tcBorders>
            <w:noWrap/>
            <w:vAlign w:val="bottom"/>
            <w:hideMark/>
          </w:tcPr>
          <w:p w14:paraId="45D8B31E"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717,824 </w:t>
            </w:r>
          </w:p>
        </w:tc>
        <w:tc>
          <w:tcPr>
            <w:tcW w:w="1051" w:type="dxa"/>
            <w:tcBorders>
              <w:top w:val="nil"/>
              <w:left w:val="nil"/>
              <w:bottom w:val="nil"/>
              <w:right w:val="single" w:sz="8" w:space="0" w:color="auto"/>
            </w:tcBorders>
            <w:noWrap/>
            <w:vAlign w:val="bottom"/>
            <w:hideMark/>
          </w:tcPr>
          <w:p w14:paraId="255C6F79"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10,188,339 </w:t>
            </w:r>
          </w:p>
        </w:tc>
        <w:tc>
          <w:tcPr>
            <w:tcW w:w="1181" w:type="dxa"/>
            <w:tcBorders>
              <w:top w:val="nil"/>
              <w:left w:val="nil"/>
              <w:bottom w:val="nil"/>
              <w:right w:val="single" w:sz="8" w:space="0" w:color="auto"/>
            </w:tcBorders>
            <w:noWrap/>
            <w:vAlign w:val="bottom"/>
            <w:hideMark/>
          </w:tcPr>
          <w:p w14:paraId="662D4C2C"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16,593,636 </w:t>
            </w:r>
          </w:p>
        </w:tc>
        <w:tc>
          <w:tcPr>
            <w:tcW w:w="1051" w:type="dxa"/>
            <w:tcBorders>
              <w:top w:val="nil"/>
              <w:left w:val="nil"/>
              <w:bottom w:val="nil"/>
              <w:right w:val="single" w:sz="8" w:space="0" w:color="auto"/>
            </w:tcBorders>
            <w:noWrap/>
            <w:vAlign w:val="bottom"/>
            <w:hideMark/>
          </w:tcPr>
          <w:p w14:paraId="72D01E4E"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20,477,392</w:t>
            </w:r>
          </w:p>
        </w:tc>
        <w:tc>
          <w:tcPr>
            <w:tcW w:w="1065" w:type="dxa"/>
            <w:tcBorders>
              <w:top w:val="nil"/>
              <w:left w:val="nil"/>
              <w:bottom w:val="nil"/>
              <w:right w:val="single" w:sz="8" w:space="0" w:color="auto"/>
            </w:tcBorders>
            <w:noWrap/>
            <w:vAlign w:val="bottom"/>
            <w:hideMark/>
          </w:tcPr>
          <w:p w14:paraId="35278CE0"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2,385,917</w:t>
            </w:r>
          </w:p>
        </w:tc>
      </w:tr>
      <w:tr w:rsidR="00CE2445" w:rsidRPr="00CE2445" w14:paraId="1E3E6F24" w14:textId="77777777" w:rsidTr="00A4763F">
        <w:trPr>
          <w:trHeight w:val="272"/>
          <w:jc w:val="center"/>
        </w:trPr>
        <w:tc>
          <w:tcPr>
            <w:tcW w:w="2507" w:type="dxa"/>
            <w:tcBorders>
              <w:top w:val="nil"/>
              <w:left w:val="single" w:sz="8" w:space="0" w:color="auto"/>
              <w:bottom w:val="single" w:sz="8" w:space="0" w:color="auto"/>
              <w:right w:val="single" w:sz="8" w:space="0" w:color="auto"/>
            </w:tcBorders>
            <w:vAlign w:val="bottom"/>
            <w:hideMark/>
          </w:tcPr>
          <w:p w14:paraId="3D8E0512" w14:textId="77777777" w:rsidR="00CE2445" w:rsidRPr="00CE2445" w:rsidRDefault="00CE2445" w:rsidP="00CE2445">
            <w:pPr>
              <w:spacing w:line="256" w:lineRule="auto"/>
              <w:ind w:left="-66"/>
              <w:rPr>
                <w:b/>
                <w:bCs/>
                <w:sz w:val="14"/>
                <w:szCs w:val="14"/>
                <w:lang w:val="en-US" w:eastAsia="es-MX"/>
              </w:rPr>
            </w:pPr>
            <w:proofErr w:type="spellStart"/>
            <w:r w:rsidRPr="00CE2445">
              <w:rPr>
                <w:b/>
                <w:bCs/>
                <w:sz w:val="14"/>
                <w:szCs w:val="14"/>
                <w:lang w:val="en-US" w:eastAsia="es-MX"/>
              </w:rPr>
              <w:t>Ingresos</w:t>
            </w:r>
            <w:proofErr w:type="spellEnd"/>
            <w:r w:rsidRPr="00CE2445">
              <w:rPr>
                <w:b/>
                <w:bCs/>
                <w:sz w:val="14"/>
                <w:szCs w:val="14"/>
                <w:lang w:val="en-US" w:eastAsia="es-MX"/>
              </w:rPr>
              <w:t xml:space="preserve"> </w:t>
            </w:r>
            <w:proofErr w:type="spellStart"/>
            <w:r w:rsidRPr="00CE2445">
              <w:rPr>
                <w:b/>
                <w:bCs/>
                <w:sz w:val="14"/>
                <w:szCs w:val="14"/>
                <w:lang w:val="en-US" w:eastAsia="es-MX"/>
              </w:rPr>
              <w:t>por</w:t>
            </w:r>
            <w:proofErr w:type="spellEnd"/>
            <w:r w:rsidRPr="00CE2445">
              <w:rPr>
                <w:b/>
                <w:bCs/>
                <w:sz w:val="14"/>
                <w:szCs w:val="14"/>
                <w:lang w:val="en-US" w:eastAsia="es-MX"/>
              </w:rPr>
              <w:t xml:space="preserve"> Venta de </w:t>
            </w:r>
            <w:proofErr w:type="spellStart"/>
            <w:r w:rsidRPr="00CE2445">
              <w:rPr>
                <w:b/>
                <w:bCs/>
                <w:sz w:val="14"/>
                <w:szCs w:val="14"/>
                <w:lang w:val="en-US" w:eastAsia="es-MX"/>
              </w:rPr>
              <w:t>Bienes</w:t>
            </w:r>
            <w:proofErr w:type="spellEnd"/>
            <w:r w:rsidRPr="00CE2445">
              <w:rPr>
                <w:b/>
                <w:bCs/>
                <w:sz w:val="14"/>
                <w:szCs w:val="14"/>
                <w:lang w:val="en-US" w:eastAsia="es-MX"/>
              </w:rPr>
              <w:t xml:space="preserve"> y </w:t>
            </w:r>
            <w:proofErr w:type="spellStart"/>
            <w:r w:rsidRPr="00CE2445">
              <w:rPr>
                <w:b/>
                <w:bCs/>
                <w:sz w:val="14"/>
                <w:szCs w:val="14"/>
                <w:lang w:val="en-US" w:eastAsia="es-MX"/>
              </w:rPr>
              <w:t>Servicios</w:t>
            </w:r>
            <w:proofErr w:type="spellEnd"/>
          </w:p>
        </w:tc>
        <w:tc>
          <w:tcPr>
            <w:tcW w:w="1051" w:type="dxa"/>
            <w:tcBorders>
              <w:top w:val="nil"/>
              <w:left w:val="nil"/>
              <w:bottom w:val="single" w:sz="8" w:space="0" w:color="auto"/>
              <w:right w:val="single" w:sz="8" w:space="0" w:color="auto"/>
            </w:tcBorders>
            <w:noWrap/>
            <w:vAlign w:val="bottom"/>
            <w:hideMark/>
          </w:tcPr>
          <w:p w14:paraId="0C6565EC"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109,999,363 </w:t>
            </w:r>
          </w:p>
        </w:tc>
        <w:tc>
          <w:tcPr>
            <w:tcW w:w="1051" w:type="dxa"/>
            <w:tcBorders>
              <w:top w:val="nil"/>
              <w:left w:val="nil"/>
              <w:bottom w:val="single" w:sz="8" w:space="0" w:color="auto"/>
              <w:right w:val="single" w:sz="8" w:space="0" w:color="auto"/>
            </w:tcBorders>
            <w:noWrap/>
            <w:vAlign w:val="bottom"/>
            <w:hideMark/>
          </w:tcPr>
          <w:p w14:paraId="2903D52B"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106,638,170 </w:t>
            </w:r>
          </w:p>
        </w:tc>
        <w:tc>
          <w:tcPr>
            <w:tcW w:w="1181" w:type="dxa"/>
            <w:tcBorders>
              <w:top w:val="nil"/>
              <w:left w:val="nil"/>
              <w:bottom w:val="single" w:sz="8" w:space="0" w:color="auto"/>
              <w:right w:val="single" w:sz="8" w:space="0" w:color="auto"/>
            </w:tcBorders>
            <w:noWrap/>
            <w:vAlign w:val="bottom"/>
            <w:hideMark/>
          </w:tcPr>
          <w:p w14:paraId="1315A293"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124,194,640 </w:t>
            </w:r>
          </w:p>
        </w:tc>
        <w:tc>
          <w:tcPr>
            <w:tcW w:w="1051" w:type="dxa"/>
            <w:tcBorders>
              <w:top w:val="nil"/>
              <w:left w:val="nil"/>
              <w:bottom w:val="single" w:sz="8" w:space="0" w:color="auto"/>
              <w:right w:val="single" w:sz="8" w:space="0" w:color="auto"/>
            </w:tcBorders>
            <w:noWrap/>
            <w:vAlign w:val="bottom"/>
            <w:hideMark/>
          </w:tcPr>
          <w:p w14:paraId="400A8D9C"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126,418,031</w:t>
            </w:r>
          </w:p>
        </w:tc>
        <w:tc>
          <w:tcPr>
            <w:tcW w:w="1065" w:type="dxa"/>
            <w:tcBorders>
              <w:top w:val="nil"/>
              <w:left w:val="nil"/>
              <w:bottom w:val="single" w:sz="8" w:space="0" w:color="auto"/>
              <w:right w:val="single" w:sz="8" w:space="0" w:color="auto"/>
            </w:tcBorders>
            <w:noWrap/>
            <w:vAlign w:val="bottom"/>
            <w:hideMark/>
          </w:tcPr>
          <w:p w14:paraId="6FE779F4"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147,420,213</w:t>
            </w:r>
          </w:p>
        </w:tc>
      </w:tr>
      <w:tr w:rsidR="00CE2445" w:rsidRPr="00CE2445" w14:paraId="4CD1246C" w14:textId="77777777" w:rsidTr="00A4763F">
        <w:trPr>
          <w:trHeight w:val="105"/>
          <w:jc w:val="center"/>
        </w:trPr>
        <w:tc>
          <w:tcPr>
            <w:tcW w:w="2507" w:type="dxa"/>
            <w:tcBorders>
              <w:top w:val="nil"/>
              <w:left w:val="single" w:sz="8" w:space="0" w:color="auto"/>
              <w:bottom w:val="single" w:sz="8" w:space="0" w:color="auto"/>
              <w:right w:val="single" w:sz="8" w:space="0" w:color="auto"/>
            </w:tcBorders>
            <w:shd w:val="clear" w:color="auto" w:fill="B1A0C7"/>
            <w:noWrap/>
            <w:vAlign w:val="bottom"/>
            <w:hideMark/>
          </w:tcPr>
          <w:p w14:paraId="5C3A8853" w14:textId="77777777" w:rsidR="00CE2445" w:rsidRPr="00CE2445" w:rsidRDefault="00CE2445" w:rsidP="00CE2445">
            <w:pPr>
              <w:spacing w:line="256" w:lineRule="auto"/>
              <w:ind w:left="-66"/>
              <w:rPr>
                <w:b/>
                <w:bCs/>
                <w:sz w:val="14"/>
                <w:szCs w:val="14"/>
                <w:lang w:val="en-US" w:eastAsia="es-MX"/>
              </w:rPr>
            </w:pPr>
            <w:r w:rsidRPr="00CE2445">
              <w:rPr>
                <w:b/>
                <w:bCs/>
                <w:sz w:val="14"/>
                <w:szCs w:val="14"/>
                <w:lang w:val="en-US" w:eastAsia="es-MX"/>
              </w:rPr>
              <w:t xml:space="preserve">Total de </w:t>
            </w:r>
            <w:proofErr w:type="spellStart"/>
            <w:r w:rsidRPr="00CE2445">
              <w:rPr>
                <w:b/>
                <w:bCs/>
                <w:sz w:val="14"/>
                <w:szCs w:val="14"/>
                <w:lang w:val="en-US" w:eastAsia="es-MX"/>
              </w:rPr>
              <w:t>Ingresos</w:t>
            </w:r>
            <w:proofErr w:type="spellEnd"/>
          </w:p>
        </w:tc>
        <w:tc>
          <w:tcPr>
            <w:tcW w:w="1051" w:type="dxa"/>
            <w:tcBorders>
              <w:top w:val="nil"/>
              <w:left w:val="nil"/>
              <w:bottom w:val="single" w:sz="8" w:space="0" w:color="auto"/>
              <w:right w:val="single" w:sz="8" w:space="0" w:color="auto"/>
            </w:tcBorders>
            <w:shd w:val="clear" w:color="auto" w:fill="B1A0C7"/>
            <w:noWrap/>
            <w:vAlign w:val="bottom"/>
            <w:hideMark/>
          </w:tcPr>
          <w:p w14:paraId="4C8CC699"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1,205,964,355 </w:t>
            </w:r>
          </w:p>
        </w:tc>
        <w:tc>
          <w:tcPr>
            <w:tcW w:w="1051" w:type="dxa"/>
            <w:tcBorders>
              <w:top w:val="nil"/>
              <w:left w:val="nil"/>
              <w:bottom w:val="single" w:sz="8" w:space="0" w:color="auto"/>
              <w:right w:val="single" w:sz="8" w:space="0" w:color="auto"/>
            </w:tcBorders>
            <w:shd w:val="clear" w:color="auto" w:fill="B1A0C7"/>
            <w:noWrap/>
            <w:vAlign w:val="bottom"/>
            <w:hideMark/>
          </w:tcPr>
          <w:p w14:paraId="4FABAB61"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1,341,167,807 </w:t>
            </w:r>
          </w:p>
        </w:tc>
        <w:tc>
          <w:tcPr>
            <w:tcW w:w="1181" w:type="dxa"/>
            <w:tcBorders>
              <w:top w:val="nil"/>
              <w:left w:val="nil"/>
              <w:bottom w:val="single" w:sz="8" w:space="0" w:color="auto"/>
              <w:right w:val="single" w:sz="8" w:space="0" w:color="auto"/>
            </w:tcBorders>
            <w:shd w:val="clear" w:color="auto" w:fill="B1A0C7"/>
            <w:noWrap/>
            <w:vAlign w:val="bottom"/>
            <w:hideMark/>
          </w:tcPr>
          <w:p w14:paraId="07DA933D"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 xml:space="preserve">          1,596,448,843 </w:t>
            </w:r>
          </w:p>
        </w:tc>
        <w:tc>
          <w:tcPr>
            <w:tcW w:w="1051" w:type="dxa"/>
            <w:tcBorders>
              <w:top w:val="nil"/>
              <w:left w:val="nil"/>
              <w:bottom w:val="single" w:sz="8" w:space="0" w:color="auto"/>
              <w:right w:val="single" w:sz="8" w:space="0" w:color="auto"/>
            </w:tcBorders>
            <w:shd w:val="clear" w:color="auto" w:fill="B1A0C7"/>
            <w:noWrap/>
            <w:vAlign w:val="bottom"/>
            <w:hideMark/>
          </w:tcPr>
          <w:p w14:paraId="674F4D52"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2,059,016,876</w:t>
            </w:r>
          </w:p>
        </w:tc>
        <w:tc>
          <w:tcPr>
            <w:tcW w:w="1065" w:type="dxa"/>
            <w:tcBorders>
              <w:top w:val="nil"/>
              <w:left w:val="nil"/>
              <w:bottom w:val="single" w:sz="8" w:space="0" w:color="auto"/>
              <w:right w:val="single" w:sz="8" w:space="0" w:color="auto"/>
            </w:tcBorders>
            <w:shd w:val="clear" w:color="auto" w:fill="B1A0C7"/>
            <w:noWrap/>
            <w:vAlign w:val="bottom"/>
            <w:hideMark/>
          </w:tcPr>
          <w:p w14:paraId="68562B89" w14:textId="77777777" w:rsidR="00CE2445" w:rsidRPr="00CE2445" w:rsidRDefault="00CE2445" w:rsidP="00CE2445">
            <w:pPr>
              <w:spacing w:line="256" w:lineRule="auto"/>
              <w:ind w:left="-66"/>
              <w:jc w:val="right"/>
              <w:rPr>
                <w:b/>
                <w:bCs/>
                <w:sz w:val="14"/>
                <w:szCs w:val="14"/>
                <w:lang w:val="en-US" w:eastAsia="es-MX"/>
              </w:rPr>
            </w:pPr>
            <w:r w:rsidRPr="00CE2445">
              <w:rPr>
                <w:b/>
                <w:bCs/>
                <w:sz w:val="14"/>
                <w:szCs w:val="14"/>
                <w:lang w:val="en-US" w:eastAsia="es-MX"/>
              </w:rPr>
              <w:t>2,132,612,552</w:t>
            </w:r>
          </w:p>
        </w:tc>
      </w:tr>
    </w:tbl>
    <w:p w14:paraId="5806737F" w14:textId="77777777" w:rsidR="00A4763F" w:rsidRPr="009B0775" w:rsidRDefault="00A4763F" w:rsidP="00A4763F">
      <w:pPr>
        <w:spacing w:line="360" w:lineRule="auto"/>
        <w:jc w:val="both"/>
        <w:rPr>
          <w:b/>
          <w:sz w:val="12"/>
          <w:szCs w:val="12"/>
        </w:rPr>
      </w:pPr>
      <w:r w:rsidRPr="009B0775">
        <w:rPr>
          <w:b/>
          <w:sz w:val="12"/>
          <w:szCs w:val="12"/>
        </w:rPr>
        <w:t>Fuente: Dirección de Contabilidad Gubernamental y Coordinación Hacendaria.</w:t>
      </w:r>
    </w:p>
    <w:p w14:paraId="0A89AF33" w14:textId="77777777" w:rsidR="00A4763F" w:rsidRPr="009B0775" w:rsidRDefault="00A4763F" w:rsidP="00A4763F">
      <w:pPr>
        <w:spacing w:line="360" w:lineRule="auto"/>
        <w:jc w:val="both"/>
        <w:rPr>
          <w:b/>
          <w:sz w:val="12"/>
          <w:szCs w:val="12"/>
        </w:rPr>
      </w:pPr>
      <w:r w:rsidRPr="009B0775">
        <w:rPr>
          <w:b/>
          <w:sz w:val="12"/>
          <w:szCs w:val="12"/>
        </w:rPr>
        <w:t>* Estimaciones al Cierre de 2024.</w:t>
      </w:r>
    </w:p>
    <w:p w14:paraId="5F12E5C2" w14:textId="77777777" w:rsidR="00A4763F" w:rsidRPr="009B0775" w:rsidRDefault="00A4763F" w:rsidP="00A4763F">
      <w:pPr>
        <w:spacing w:line="360" w:lineRule="auto"/>
        <w:jc w:val="both"/>
        <w:rPr>
          <w:b/>
          <w:sz w:val="10"/>
        </w:rPr>
      </w:pPr>
    </w:p>
    <w:p w14:paraId="73052016" w14:textId="77777777" w:rsidR="00A4763F" w:rsidRPr="009B0775" w:rsidRDefault="00A4763F" w:rsidP="00A4763F">
      <w:pPr>
        <w:spacing w:line="360" w:lineRule="auto"/>
        <w:jc w:val="center"/>
        <w:rPr>
          <w:b/>
          <w:sz w:val="16"/>
          <w:szCs w:val="36"/>
        </w:rPr>
      </w:pPr>
      <w:proofErr w:type="gramStart"/>
      <w:r w:rsidRPr="009B0775">
        <w:rPr>
          <w:b/>
          <w:sz w:val="16"/>
          <w:szCs w:val="36"/>
        </w:rPr>
        <w:t>Total</w:t>
      </w:r>
      <w:proofErr w:type="gramEnd"/>
      <w:r w:rsidRPr="009B0775">
        <w:rPr>
          <w:b/>
          <w:sz w:val="16"/>
          <w:szCs w:val="36"/>
        </w:rPr>
        <w:t xml:space="preserve"> de Ingresos Recaudados 2020-2024</w:t>
      </w:r>
    </w:p>
    <w:p w14:paraId="3587054F" w14:textId="77777777" w:rsidR="00CE2445" w:rsidRPr="00CE2445" w:rsidRDefault="00CE2445" w:rsidP="00CE2445">
      <w:pPr>
        <w:spacing w:line="360" w:lineRule="auto"/>
        <w:jc w:val="both"/>
        <w:rPr>
          <w:b/>
          <w:sz w:val="20"/>
          <w:szCs w:val="20"/>
        </w:rPr>
      </w:pPr>
      <w:r w:rsidRPr="00CE2445">
        <w:rPr>
          <w:b/>
          <w:noProof/>
          <w:sz w:val="20"/>
          <w:szCs w:val="20"/>
          <w:lang w:val="es-MX" w:eastAsia="es-MX"/>
        </w:rPr>
        <w:drawing>
          <wp:inline distT="0" distB="0" distL="0" distR="0" wp14:anchorId="419E41D2" wp14:editId="6F4FFC2A">
            <wp:extent cx="5179695" cy="2459421"/>
            <wp:effectExtent l="0" t="0" r="1905" b="0"/>
            <wp:docPr id="3493604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rotWithShape="1">
                    <a:blip r:embed="rId10">
                      <a:extLst>
                        <a:ext uri="{28A0092B-C50C-407E-A947-70E740481C1C}">
                          <a14:useLocalDpi xmlns:a14="http://schemas.microsoft.com/office/drawing/2010/main" val="0"/>
                        </a:ext>
                      </a:extLst>
                    </a:blip>
                    <a:srcRect t="8552"/>
                    <a:stretch/>
                  </pic:blipFill>
                  <pic:spPr bwMode="auto">
                    <a:xfrm>
                      <a:off x="0" y="0"/>
                      <a:ext cx="5184988" cy="2461934"/>
                    </a:xfrm>
                    <a:prstGeom prst="rect">
                      <a:avLst/>
                    </a:prstGeom>
                    <a:noFill/>
                    <a:ln>
                      <a:noFill/>
                    </a:ln>
                    <a:extLst>
                      <a:ext uri="{53640926-AAD7-44D8-BBD7-CCE9431645EC}">
                        <a14:shadowObscured xmlns:a14="http://schemas.microsoft.com/office/drawing/2010/main"/>
                      </a:ext>
                    </a:extLst>
                  </pic:spPr>
                </pic:pic>
              </a:graphicData>
            </a:graphic>
          </wp:inline>
        </w:drawing>
      </w:r>
    </w:p>
    <w:p w14:paraId="17E386DC" w14:textId="77777777" w:rsidR="00CE2445" w:rsidRPr="00A4763F" w:rsidRDefault="00CE2445" w:rsidP="00CE2445">
      <w:pPr>
        <w:spacing w:line="360" w:lineRule="auto"/>
        <w:jc w:val="both"/>
        <w:rPr>
          <w:b/>
          <w:sz w:val="12"/>
          <w:szCs w:val="12"/>
        </w:rPr>
      </w:pPr>
      <w:r w:rsidRPr="00A4763F">
        <w:rPr>
          <w:b/>
          <w:sz w:val="12"/>
          <w:szCs w:val="12"/>
        </w:rPr>
        <w:t xml:space="preserve">Fuente: Dirección de Contabilidad Gubernamental y Coordinación Hacendaria </w:t>
      </w:r>
    </w:p>
    <w:p w14:paraId="0EB973A0" w14:textId="77777777" w:rsidR="00CE2445" w:rsidRPr="00A4763F" w:rsidRDefault="00CE2445" w:rsidP="00CE2445">
      <w:pPr>
        <w:spacing w:line="360" w:lineRule="auto"/>
        <w:jc w:val="both"/>
        <w:rPr>
          <w:b/>
          <w:sz w:val="12"/>
          <w:szCs w:val="12"/>
        </w:rPr>
      </w:pPr>
      <w:r w:rsidRPr="00A4763F">
        <w:rPr>
          <w:b/>
          <w:sz w:val="12"/>
          <w:szCs w:val="12"/>
        </w:rPr>
        <w:t>* Estimaciones al Cierre de 2024.</w:t>
      </w:r>
    </w:p>
    <w:p w14:paraId="7B958276" w14:textId="77777777" w:rsidR="00CE2445" w:rsidRPr="00CE2445" w:rsidRDefault="00CE2445" w:rsidP="00CE2445">
      <w:pPr>
        <w:pStyle w:val="PRIMERAPLANA"/>
        <w:spacing w:line="360" w:lineRule="auto"/>
        <w:rPr>
          <w:rFonts w:ascii="Times New Roman" w:hAnsi="Times New Roman"/>
          <w:lang w:val="es-MX"/>
        </w:rPr>
      </w:pPr>
    </w:p>
    <w:p w14:paraId="31BAD1B1" w14:textId="77777777" w:rsidR="00CE2445" w:rsidRPr="00CE2445" w:rsidRDefault="00CE2445" w:rsidP="00CE2445">
      <w:pPr>
        <w:pStyle w:val="PRIMERAPLANA"/>
        <w:spacing w:line="360" w:lineRule="auto"/>
        <w:rPr>
          <w:rFonts w:ascii="Times New Roman" w:hAnsi="Times New Roman"/>
          <w:lang w:val="es-MX"/>
        </w:rPr>
      </w:pPr>
      <w:r w:rsidRPr="00CE2445">
        <w:rPr>
          <w:rFonts w:ascii="Times New Roman" w:hAnsi="Times New Roman"/>
          <w:lang w:val="es-MX"/>
        </w:rPr>
        <w:t xml:space="preserve">Ante un panorama económico que puede presentar riesgos en el corto y en el mediano plazo, esta administración no prevé la creación de nuevos impuestos ni el incremento de los ya vigentes, por lo que será una tarea fundamental el implementar una política fiscal que favorezca el financiamiento del </w:t>
      </w:r>
      <w:r w:rsidRPr="00CE2445">
        <w:rPr>
          <w:rFonts w:ascii="Times New Roman" w:hAnsi="Times New Roman"/>
          <w:lang w:val="es-MX"/>
        </w:rPr>
        <w:lastRenderedPageBreak/>
        <w:t xml:space="preserve">gasto público, permitiendo </w:t>
      </w:r>
      <w:proofErr w:type="spellStart"/>
      <w:r w:rsidRPr="00CE2445">
        <w:rPr>
          <w:rFonts w:ascii="Times New Roman" w:hAnsi="Times New Roman"/>
          <w:lang w:val="es-MX"/>
        </w:rPr>
        <w:t>eficientar</w:t>
      </w:r>
      <w:proofErr w:type="spellEnd"/>
      <w:r w:rsidRPr="00CE2445">
        <w:rPr>
          <w:rFonts w:ascii="Times New Roman" w:hAnsi="Times New Roman"/>
          <w:lang w:val="es-MX"/>
        </w:rPr>
        <w:t xml:space="preserve"> la administración y recaudación de las diferentes fuentes de ingresos.</w:t>
      </w:r>
    </w:p>
    <w:p w14:paraId="670B51A2" w14:textId="77777777" w:rsidR="00CE2445" w:rsidRPr="00CE2445" w:rsidRDefault="00CE2445" w:rsidP="00CE2445">
      <w:pPr>
        <w:pStyle w:val="PRIMERAPLANA"/>
        <w:spacing w:line="360" w:lineRule="auto"/>
        <w:rPr>
          <w:rFonts w:ascii="Times New Roman" w:hAnsi="Times New Roman"/>
          <w:lang w:val="es-MX"/>
        </w:rPr>
      </w:pPr>
    </w:p>
    <w:p w14:paraId="3847A7FE" w14:textId="77777777" w:rsidR="00CE2445" w:rsidRPr="00CE2445" w:rsidRDefault="00CE2445" w:rsidP="00CE2445">
      <w:pPr>
        <w:pStyle w:val="PRIMERAPLANA"/>
        <w:spacing w:line="360" w:lineRule="auto"/>
        <w:rPr>
          <w:rFonts w:ascii="Times New Roman" w:hAnsi="Times New Roman"/>
          <w:lang w:val="es-MX"/>
        </w:rPr>
      </w:pPr>
      <w:r w:rsidRPr="00CE2445">
        <w:rPr>
          <w:rFonts w:ascii="Times New Roman" w:hAnsi="Times New Roman"/>
          <w:lang w:val="es-MX"/>
        </w:rPr>
        <w:t>En materia de incentivos fiscales estatales, se han propuesto políticas de fomento económico para impulsar la creación de nuevos empleos y generar cadenas productivas en el ámbito rural e industrial, que permitan atraer la atención de inversionistas al Estado.</w:t>
      </w:r>
    </w:p>
    <w:p w14:paraId="30048395" w14:textId="77777777" w:rsidR="00CE2445" w:rsidRPr="00CE2445" w:rsidRDefault="00CE2445" w:rsidP="00CE2445">
      <w:pPr>
        <w:pStyle w:val="PRIMERAPLANA"/>
        <w:spacing w:line="360" w:lineRule="auto"/>
        <w:rPr>
          <w:rFonts w:ascii="Times New Roman" w:hAnsi="Times New Roman"/>
          <w:lang w:val="es-MX"/>
        </w:rPr>
      </w:pPr>
    </w:p>
    <w:p w14:paraId="3838A978" w14:textId="77777777" w:rsidR="00CE2445" w:rsidRPr="00CE2445" w:rsidRDefault="00CE2445" w:rsidP="00CE2445">
      <w:pPr>
        <w:pStyle w:val="PRIMERAPLANA"/>
        <w:spacing w:line="360" w:lineRule="auto"/>
        <w:rPr>
          <w:rFonts w:ascii="Times New Roman" w:hAnsi="Times New Roman"/>
          <w:lang w:val="es-MX"/>
        </w:rPr>
      </w:pPr>
      <w:r w:rsidRPr="00CE2445">
        <w:rPr>
          <w:rFonts w:ascii="Times New Roman" w:hAnsi="Times New Roman"/>
          <w:lang w:val="es-MX"/>
        </w:rPr>
        <w:t xml:space="preserve">Observando el principio de justicia tributaria, se prevé otorgar estímulos en materia del Impuesto Sobre Nóminas a empresas que ya se encuentren instaladas y a las de nueva creación con domicilio fiscal en el Estado, que contraten adultos mayores y a personas con alguna discapacidad; por otra parte, se continuará subsidiando el pago del Impuesto Estatal Sobre Tenencia o Uso de Vehículos. </w:t>
      </w:r>
    </w:p>
    <w:p w14:paraId="70CA3F3A" w14:textId="77777777" w:rsidR="00CE2445" w:rsidRPr="00CE2445" w:rsidRDefault="00CE2445" w:rsidP="00CE2445">
      <w:pPr>
        <w:pStyle w:val="PRIMERAPLANA"/>
        <w:spacing w:line="360" w:lineRule="auto"/>
        <w:rPr>
          <w:rFonts w:ascii="Times New Roman" w:hAnsi="Times New Roman"/>
          <w:lang w:val="es-MX"/>
        </w:rPr>
      </w:pPr>
    </w:p>
    <w:p w14:paraId="19E87DB9" w14:textId="77777777" w:rsidR="00CE2445" w:rsidRPr="00CE2445" w:rsidRDefault="00CE2445" w:rsidP="00CE2445">
      <w:pPr>
        <w:pStyle w:val="PRIMERAPLANA"/>
        <w:spacing w:line="360" w:lineRule="auto"/>
        <w:rPr>
          <w:rFonts w:ascii="Times New Roman" w:hAnsi="Times New Roman"/>
          <w:lang w:val="es-MX"/>
        </w:rPr>
      </w:pPr>
      <w:r w:rsidRPr="00CE2445">
        <w:rPr>
          <w:rFonts w:ascii="Times New Roman" w:hAnsi="Times New Roman"/>
          <w:lang w:val="es-MX"/>
        </w:rPr>
        <w:t>Asimismo, se otorgan beneficios a los propietarios, tenedores o usuarios de vehículos automotores híbridos que circulen en la Entidad, otorgándoles una exención del 100% en el pago del Impuesto Estatal Sobre Tenencia o Uso de Vehículos y de los Derechos por Registro y Control Vehicular y la reducción en el cobro de infracciones, estableciendo un tabulador para tal efecto, a fin de otorgar certeza jurídica a los infractores que se les imponga alguna multa por los supuestos establecidos en el Reglamento de la Ley de Comunicaciones y Transportes en el Estado de Tlaxcala en Materia de Transporte Público y Privado, así como facilidades a los propietarios de motocicletas para su registro en el Padrón Estatal Vehicular.</w:t>
      </w:r>
    </w:p>
    <w:p w14:paraId="072BDA2F" w14:textId="77777777" w:rsidR="00CE2445" w:rsidRPr="00CE2445" w:rsidRDefault="00CE2445" w:rsidP="00CE2445">
      <w:pPr>
        <w:pStyle w:val="PRIMERAPLANA"/>
        <w:spacing w:line="360" w:lineRule="auto"/>
        <w:rPr>
          <w:rFonts w:ascii="Times New Roman" w:hAnsi="Times New Roman"/>
          <w:lang w:val="es-MX"/>
        </w:rPr>
      </w:pPr>
    </w:p>
    <w:p w14:paraId="385DE47D" w14:textId="77777777" w:rsidR="00CE2445" w:rsidRPr="00CE2445" w:rsidRDefault="00CE2445" w:rsidP="00CE2445">
      <w:pPr>
        <w:spacing w:line="360" w:lineRule="auto"/>
        <w:jc w:val="both"/>
        <w:rPr>
          <w:sz w:val="20"/>
          <w:szCs w:val="20"/>
        </w:rPr>
      </w:pPr>
      <w:r w:rsidRPr="00CE2445">
        <w:rPr>
          <w:sz w:val="20"/>
          <w:szCs w:val="20"/>
        </w:rPr>
        <w:t>El Gobierno del Estado considera prioritaria una estrategia de inclusión social con perspectiva de género, por lo que la atención de los derechos de las niñas, niños y adolescentes de 0 a 5 años y adolescentes hasta los 18 años es fundamental, por lo que se han emprendido acciones que permiten identificar plenamente los recursos que son ejercidos en estos rubros por las Dependencias del Estado, previniendo rezagos y desigualdades, para lo que se incorporarán propuestas y estrategias de desarrollo con perspectiva de género al interior de éstas.</w:t>
      </w:r>
    </w:p>
    <w:p w14:paraId="051357B8" w14:textId="77777777" w:rsidR="00CE2445" w:rsidRPr="00CE2445" w:rsidRDefault="00CE2445" w:rsidP="00CE2445">
      <w:pPr>
        <w:spacing w:line="360" w:lineRule="auto"/>
        <w:jc w:val="both"/>
        <w:rPr>
          <w:sz w:val="20"/>
          <w:szCs w:val="20"/>
        </w:rPr>
      </w:pPr>
    </w:p>
    <w:p w14:paraId="5218EC2F" w14:textId="77777777" w:rsidR="00CE2445" w:rsidRPr="00CE2445" w:rsidRDefault="00CE2445" w:rsidP="00CE2445">
      <w:pPr>
        <w:spacing w:line="360" w:lineRule="auto"/>
        <w:jc w:val="both"/>
        <w:rPr>
          <w:sz w:val="20"/>
          <w:szCs w:val="20"/>
        </w:rPr>
      </w:pPr>
      <w:r w:rsidRPr="00CE2445">
        <w:rPr>
          <w:sz w:val="20"/>
          <w:szCs w:val="20"/>
        </w:rPr>
        <w:t>Al mes de septiembre de 2024 la tasa de ocupación reflejó una participación del 1% al total nacional, presentando un incremento de 2,900 puestos de trabajo permanentes respecto a diciembre de 2023. Al mes de agosto de 2024, se tienen registrados 117,280 trabajadores asegurados en el IMSS, tal y como se muestra en los cuadros siguientes:</w:t>
      </w:r>
    </w:p>
    <w:p w14:paraId="2129A5B6" w14:textId="77777777" w:rsidR="00CE2445" w:rsidRPr="00CE2445" w:rsidRDefault="00CE2445" w:rsidP="00CE2445">
      <w:pPr>
        <w:spacing w:line="360" w:lineRule="auto"/>
        <w:jc w:val="both"/>
        <w:rPr>
          <w:sz w:val="20"/>
          <w:szCs w:val="20"/>
        </w:rPr>
      </w:pPr>
      <w:r w:rsidRPr="00CE2445">
        <w:rPr>
          <w:noProof/>
          <w:sz w:val="20"/>
          <w:szCs w:val="20"/>
          <w:lang w:val="es-MX" w:eastAsia="es-MX"/>
        </w:rPr>
        <w:lastRenderedPageBreak/>
        <w:drawing>
          <wp:inline distT="0" distB="0" distL="0" distR="0" wp14:anchorId="6A89C028" wp14:editId="419DA3C2">
            <wp:extent cx="5179695" cy="4259580"/>
            <wp:effectExtent l="0" t="0" r="1905" b="7620"/>
            <wp:docPr id="16700945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26393" t="21254" r="24440" b="6635"/>
                    <a:stretch>
                      <a:fillRect/>
                    </a:stretch>
                  </pic:blipFill>
                  <pic:spPr bwMode="auto">
                    <a:xfrm>
                      <a:off x="0" y="0"/>
                      <a:ext cx="5179695" cy="4259580"/>
                    </a:xfrm>
                    <a:prstGeom prst="rect">
                      <a:avLst/>
                    </a:prstGeom>
                    <a:noFill/>
                    <a:ln>
                      <a:noFill/>
                    </a:ln>
                  </pic:spPr>
                </pic:pic>
              </a:graphicData>
            </a:graphic>
          </wp:inline>
        </w:drawing>
      </w:r>
    </w:p>
    <w:p w14:paraId="0ED8840D" w14:textId="77777777" w:rsidR="00C847DD" w:rsidRDefault="00C847DD" w:rsidP="00CE2445">
      <w:pPr>
        <w:spacing w:line="360" w:lineRule="auto"/>
        <w:jc w:val="both"/>
        <w:rPr>
          <w:sz w:val="20"/>
          <w:szCs w:val="20"/>
        </w:rPr>
      </w:pPr>
    </w:p>
    <w:p w14:paraId="55C6FA67" w14:textId="77777777" w:rsidR="00CE2445" w:rsidRPr="00CE2445" w:rsidRDefault="00CE2445" w:rsidP="00CE2445">
      <w:pPr>
        <w:spacing w:line="360" w:lineRule="auto"/>
        <w:jc w:val="both"/>
        <w:rPr>
          <w:sz w:val="20"/>
          <w:szCs w:val="20"/>
        </w:rPr>
      </w:pPr>
      <w:r w:rsidRPr="00CE2445">
        <w:rPr>
          <w:sz w:val="20"/>
          <w:szCs w:val="20"/>
        </w:rPr>
        <w:t>De acuerdo al Directorio Estadístico Nacional de Unidades Económicas, Tlaxcala cuenta con 83,021 Unidades Económicas al mes de septiembre de 2024, lo que representa una participación del 1% del Estado en el total nacional. Al segundo trimestre de 2024 la Población Económicamente Activa (PEA) ascendió a 685,735 personas, representando el 61% de la población en edad de trabajar. Del total de la PEA, el 97% está ocupada y el 3% se encuentra desocupada.</w:t>
      </w:r>
    </w:p>
    <w:p w14:paraId="6DA63D25" w14:textId="77777777" w:rsidR="00CE2445" w:rsidRPr="00CE2445" w:rsidRDefault="00CE2445" w:rsidP="00CE2445">
      <w:pPr>
        <w:spacing w:line="360" w:lineRule="auto"/>
        <w:jc w:val="center"/>
        <w:rPr>
          <w:sz w:val="20"/>
          <w:szCs w:val="20"/>
        </w:rPr>
      </w:pPr>
      <w:r w:rsidRPr="00CE2445">
        <w:rPr>
          <w:noProof/>
          <w:sz w:val="20"/>
          <w:szCs w:val="20"/>
          <w:lang w:val="es-MX" w:eastAsia="es-MX"/>
        </w:rPr>
        <w:lastRenderedPageBreak/>
        <w:drawing>
          <wp:inline distT="0" distB="0" distL="0" distR="0" wp14:anchorId="57A03286" wp14:editId="37BF31D8">
            <wp:extent cx="5179695" cy="3931285"/>
            <wp:effectExtent l="0" t="0" r="1905" b="0"/>
            <wp:docPr id="16541363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l="23657" t="22191" r="24869" b="8479"/>
                    <a:stretch>
                      <a:fillRect/>
                    </a:stretch>
                  </pic:blipFill>
                  <pic:spPr bwMode="auto">
                    <a:xfrm>
                      <a:off x="0" y="0"/>
                      <a:ext cx="5179695" cy="3931285"/>
                    </a:xfrm>
                    <a:prstGeom prst="rect">
                      <a:avLst/>
                    </a:prstGeom>
                    <a:noFill/>
                    <a:ln>
                      <a:noFill/>
                    </a:ln>
                  </pic:spPr>
                </pic:pic>
              </a:graphicData>
            </a:graphic>
          </wp:inline>
        </w:drawing>
      </w:r>
    </w:p>
    <w:p w14:paraId="1D84AB5B" w14:textId="77777777" w:rsidR="00CE2445" w:rsidRPr="00CE2445" w:rsidRDefault="00CE2445" w:rsidP="00CE2445">
      <w:pPr>
        <w:spacing w:line="360" w:lineRule="auto"/>
        <w:jc w:val="both"/>
        <w:rPr>
          <w:sz w:val="20"/>
          <w:szCs w:val="20"/>
        </w:rPr>
      </w:pPr>
      <w:r w:rsidRPr="00CE2445">
        <w:rPr>
          <w:sz w:val="20"/>
          <w:szCs w:val="20"/>
        </w:rPr>
        <w:t xml:space="preserve">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w:t>
      </w:r>
    </w:p>
    <w:p w14:paraId="05AE7FBA" w14:textId="77777777" w:rsidR="00CE2445" w:rsidRPr="00CE2445" w:rsidRDefault="00CE2445" w:rsidP="00CE2445">
      <w:pPr>
        <w:spacing w:line="360" w:lineRule="auto"/>
        <w:jc w:val="both"/>
        <w:rPr>
          <w:sz w:val="20"/>
          <w:szCs w:val="20"/>
        </w:rPr>
      </w:pPr>
    </w:p>
    <w:p w14:paraId="1266C8DB" w14:textId="77777777" w:rsidR="00CE2445" w:rsidRPr="00CE2445" w:rsidRDefault="00CE2445" w:rsidP="00CE2445">
      <w:pPr>
        <w:spacing w:line="360" w:lineRule="auto"/>
        <w:jc w:val="both"/>
        <w:rPr>
          <w:sz w:val="20"/>
          <w:szCs w:val="20"/>
        </w:rPr>
      </w:pPr>
      <w:r w:rsidRPr="00CE2445">
        <w:rPr>
          <w:sz w:val="20"/>
          <w:szCs w:val="20"/>
        </w:rPr>
        <w:t>El año 2020 marcó el inicio de una década de acción ambiciosa a fin de alcanzar los objetivos para el 2030, por lo que en nuestro Estado consciente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14:paraId="0C343B93" w14:textId="77777777" w:rsidR="00CE2445" w:rsidRPr="00CE2445" w:rsidRDefault="00CE2445" w:rsidP="00CE2445">
      <w:pPr>
        <w:spacing w:line="360" w:lineRule="auto"/>
        <w:jc w:val="both"/>
        <w:rPr>
          <w:sz w:val="20"/>
          <w:szCs w:val="20"/>
        </w:rPr>
      </w:pPr>
    </w:p>
    <w:p w14:paraId="4ADE2ADA" w14:textId="77777777" w:rsidR="00CE2445" w:rsidRPr="00CE2445" w:rsidRDefault="00CE2445" w:rsidP="00CE2445">
      <w:pPr>
        <w:spacing w:line="360" w:lineRule="auto"/>
        <w:jc w:val="both"/>
        <w:rPr>
          <w:sz w:val="20"/>
          <w:szCs w:val="20"/>
        </w:rPr>
      </w:pPr>
      <w:r w:rsidRPr="00CE2445">
        <w:rPr>
          <w:sz w:val="20"/>
          <w:szCs w:val="20"/>
        </w:rPr>
        <w:t xml:space="preserve">Al segundo trimestre de 2024, la Inversión Extranjera Directa Acumulada del año 2006 al mes de junio de 2024 en el Estado de Tlaxcala fue de 3,283.3 millones de dólares, lo que representó un aporte del </w:t>
      </w:r>
      <w:r w:rsidRPr="00CE2445">
        <w:rPr>
          <w:sz w:val="20"/>
          <w:szCs w:val="20"/>
        </w:rPr>
        <w:lastRenderedPageBreak/>
        <w:t>0.56% al total nacional, instalándose empresas de diversas nacionalidades, tal y como se observa en el cuadro comparativo siguiente:</w:t>
      </w:r>
    </w:p>
    <w:p w14:paraId="481ECCBB" w14:textId="77777777" w:rsidR="00CE2445" w:rsidRPr="00CE2445" w:rsidRDefault="00CE2445" w:rsidP="00CE2445">
      <w:pPr>
        <w:spacing w:line="360" w:lineRule="auto"/>
        <w:jc w:val="both"/>
        <w:rPr>
          <w:sz w:val="20"/>
          <w:szCs w:val="20"/>
        </w:rPr>
      </w:pPr>
    </w:p>
    <w:p w14:paraId="60A0EC1C" w14:textId="77777777" w:rsidR="00CE2445" w:rsidRPr="00CE2445" w:rsidRDefault="00CE2445" w:rsidP="00CE2445">
      <w:pPr>
        <w:spacing w:line="360" w:lineRule="auto"/>
        <w:jc w:val="both"/>
        <w:rPr>
          <w:sz w:val="20"/>
          <w:szCs w:val="20"/>
        </w:rPr>
      </w:pPr>
      <w:r w:rsidRPr="00CE2445">
        <w:rPr>
          <w:noProof/>
          <w:sz w:val="20"/>
          <w:szCs w:val="20"/>
          <w:lang w:val="es-MX" w:eastAsia="es-MX"/>
        </w:rPr>
        <w:drawing>
          <wp:inline distT="0" distB="0" distL="0" distR="0" wp14:anchorId="3CE80C47" wp14:editId="2D2BCD58">
            <wp:extent cx="5178646" cy="3794078"/>
            <wp:effectExtent l="0" t="0" r="3175" b="0"/>
            <wp:docPr id="9839192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5205935" cy="3814071"/>
                    </a:xfrm>
                    <a:prstGeom prst="rect">
                      <a:avLst/>
                    </a:prstGeom>
                    <a:noFill/>
                    <a:ln>
                      <a:noFill/>
                    </a:ln>
                  </pic:spPr>
                </pic:pic>
              </a:graphicData>
            </a:graphic>
          </wp:inline>
        </w:drawing>
      </w:r>
    </w:p>
    <w:p w14:paraId="188EE7A2" w14:textId="77777777" w:rsidR="00CE2445" w:rsidRPr="00CE2445" w:rsidRDefault="00CE2445" w:rsidP="00CE2445">
      <w:pPr>
        <w:spacing w:line="360" w:lineRule="auto"/>
        <w:jc w:val="both"/>
        <w:rPr>
          <w:sz w:val="20"/>
          <w:szCs w:val="20"/>
        </w:rPr>
      </w:pPr>
      <w:r w:rsidRPr="00CE2445">
        <w:rPr>
          <w:sz w:val="20"/>
          <w:szCs w:val="20"/>
        </w:rPr>
        <w:t>El ejercicio del gasto público es un elemento fundamental por lo que, la eficacia y la eficiencia en su ejercicio contribuirá a la identificación de posibles casos de corrupción. El Instituto Mexicano para la Competitividad A.C. elaboró el Índice de Información Presupuestal Estatal (IIPE); actual Barómetro de Información Presupuestal Estatal (BIPE), que evalúa la calidad del reporte de la información presupuestal de las 32 Entidades Federativas. El BIPE tiene como propósito eliminar las condiciones de opacidad en el manejo de los recursos públicos y fomentar buenas prácticas presupuestales. Desde 2008, el IMCO evalúa la calidad de la información presupuestal de los estados sobre la base de un catálogo de buenas prácticas y las normas de contabilidad gubernamental. El BIPE ubica al Estado de Tlaxcala entre las 20 entidades mejor evaluadas en esta materia.</w:t>
      </w:r>
    </w:p>
    <w:p w14:paraId="3D58F630" w14:textId="77777777" w:rsidR="00CE2445" w:rsidRPr="00CE2445" w:rsidRDefault="00CE2445" w:rsidP="00CE2445">
      <w:pPr>
        <w:spacing w:line="360" w:lineRule="auto"/>
        <w:jc w:val="both"/>
        <w:rPr>
          <w:sz w:val="20"/>
          <w:szCs w:val="20"/>
        </w:rPr>
      </w:pPr>
    </w:p>
    <w:p w14:paraId="18E95C18" w14:textId="77777777" w:rsidR="00CE2445" w:rsidRPr="00CE2445" w:rsidRDefault="00CE2445" w:rsidP="00CE2445">
      <w:pPr>
        <w:spacing w:line="360" w:lineRule="auto"/>
        <w:jc w:val="both"/>
        <w:rPr>
          <w:sz w:val="20"/>
          <w:szCs w:val="20"/>
        </w:rPr>
      </w:pPr>
      <w:r w:rsidRPr="00CE2445">
        <w:rPr>
          <w:noProof/>
          <w:sz w:val="20"/>
          <w:szCs w:val="20"/>
          <w:lang w:val="es-MX" w:eastAsia="es-MX"/>
        </w:rPr>
        <w:lastRenderedPageBreak/>
        <w:drawing>
          <wp:inline distT="0" distB="0" distL="0" distR="0" wp14:anchorId="047182BD" wp14:editId="11B13101">
            <wp:extent cx="5163300" cy="2907102"/>
            <wp:effectExtent l="0" t="0" r="0" b="7620"/>
            <wp:docPr id="1555723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23306"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9663" t="39085" r="37671" b="8195"/>
                    <a:stretch/>
                  </pic:blipFill>
                  <pic:spPr bwMode="auto">
                    <a:xfrm>
                      <a:off x="0" y="0"/>
                      <a:ext cx="5190837" cy="2922606"/>
                    </a:xfrm>
                    <a:prstGeom prst="rect">
                      <a:avLst/>
                    </a:prstGeom>
                    <a:ln>
                      <a:noFill/>
                    </a:ln>
                    <a:extLst>
                      <a:ext uri="{53640926-AAD7-44D8-BBD7-CCE9431645EC}">
                        <a14:shadowObscured xmlns:a14="http://schemas.microsoft.com/office/drawing/2010/main"/>
                      </a:ext>
                    </a:extLst>
                  </pic:spPr>
                </pic:pic>
              </a:graphicData>
            </a:graphic>
          </wp:inline>
        </w:drawing>
      </w:r>
    </w:p>
    <w:p w14:paraId="4B7EB13A" w14:textId="77777777" w:rsidR="00CE2445" w:rsidRPr="00CE2445" w:rsidRDefault="00CE2445" w:rsidP="00CE2445">
      <w:pPr>
        <w:spacing w:line="360" w:lineRule="auto"/>
        <w:jc w:val="center"/>
        <w:rPr>
          <w:sz w:val="20"/>
          <w:szCs w:val="20"/>
        </w:rPr>
      </w:pPr>
    </w:p>
    <w:p w14:paraId="5661D3DD" w14:textId="77777777" w:rsidR="00CE2445" w:rsidRPr="00CE2445" w:rsidRDefault="00CE2445" w:rsidP="00CE2445">
      <w:pPr>
        <w:shd w:val="clear" w:color="auto" w:fill="FFFFFF" w:themeFill="background1"/>
        <w:spacing w:line="360" w:lineRule="auto"/>
        <w:jc w:val="both"/>
        <w:rPr>
          <w:sz w:val="20"/>
          <w:szCs w:val="20"/>
        </w:rPr>
      </w:pPr>
      <w:r w:rsidRPr="00CE2445">
        <w:rPr>
          <w:sz w:val="20"/>
          <w:szCs w:val="20"/>
        </w:rPr>
        <w:t>En materia de ingresos provenientes de fuentes locales, se estima que para el ejercicio fiscal 2025, se tenga una variación del 4.59% con relación a la Ley de Ingresos aprobada para el ejercicio fiscal de 2024. En esta estimación se incluyen los ingresos que se esperan captar por parte de los Organismos Públicos Descentralizados, por la prestación de servicios inherentes a sus funciones, mismos que serán recaudados a través de la Secretaría de Finanzas.</w:t>
      </w:r>
    </w:p>
    <w:p w14:paraId="02099E4E" w14:textId="77777777" w:rsidR="00CE2445" w:rsidRPr="00CE2445" w:rsidRDefault="00CE2445" w:rsidP="00CE2445">
      <w:pPr>
        <w:spacing w:line="360" w:lineRule="auto"/>
        <w:jc w:val="both"/>
        <w:rPr>
          <w:sz w:val="20"/>
          <w:szCs w:val="20"/>
        </w:rPr>
      </w:pPr>
    </w:p>
    <w:p w14:paraId="460AC1B8" w14:textId="77777777" w:rsidR="00CE2445" w:rsidRPr="00CE2445" w:rsidRDefault="00CE2445" w:rsidP="00CE2445">
      <w:pPr>
        <w:spacing w:line="360" w:lineRule="auto"/>
        <w:jc w:val="both"/>
        <w:rPr>
          <w:sz w:val="20"/>
          <w:szCs w:val="20"/>
        </w:rPr>
      </w:pPr>
      <w:r w:rsidRPr="00CE2445">
        <w:rPr>
          <w:sz w:val="20"/>
          <w:szCs w:val="20"/>
        </w:rPr>
        <w:t xml:space="preserve">En lo que corresponde a participaciones federales referenciadas a la Recaudación Federal Participable en el presente ejercicio (al mes de septiembre de 2024), la distribución por Entidad Federativa, muestra una variación promedio de -0.23%; Tlaxcala se sitúa con un -0.11%; esto derivado de la recaudación de los impuestos y derechos locales (incluye predial y agua municipal) en los periodos 2022-2023. tal como se aprecia en el gráfico siguiente: </w:t>
      </w:r>
    </w:p>
    <w:p w14:paraId="25B69035" w14:textId="77777777" w:rsidR="00CE2445" w:rsidRPr="00CE2445" w:rsidRDefault="00CE2445" w:rsidP="00CE2445">
      <w:pPr>
        <w:spacing w:line="360" w:lineRule="auto"/>
        <w:jc w:val="both"/>
        <w:rPr>
          <w:sz w:val="20"/>
          <w:szCs w:val="20"/>
        </w:rPr>
      </w:pPr>
    </w:p>
    <w:p w14:paraId="67C6FBFF" w14:textId="0DB97C20" w:rsidR="00CE2445" w:rsidRPr="00CE2445" w:rsidRDefault="00754CF1" w:rsidP="00CE2445">
      <w:pPr>
        <w:spacing w:line="360" w:lineRule="auto"/>
        <w:jc w:val="both"/>
        <w:rPr>
          <w:sz w:val="20"/>
          <w:szCs w:val="20"/>
        </w:rPr>
      </w:pPr>
      <w:r>
        <w:rPr>
          <w:noProof/>
          <w:lang w:val="es-MX" w:eastAsia="es-MX"/>
        </w:rPr>
        <w:lastRenderedPageBreak/>
        <mc:AlternateContent>
          <mc:Choice Requires="wps">
            <w:drawing>
              <wp:anchor distT="0" distB="0" distL="114300" distR="114300" simplePos="0" relativeHeight="251729920" behindDoc="0" locked="0" layoutInCell="1" allowOverlap="1" wp14:anchorId="47DA3A51" wp14:editId="4FDDDECF">
                <wp:simplePos x="0" y="0"/>
                <wp:positionH relativeFrom="column">
                  <wp:posOffset>2414270</wp:posOffset>
                </wp:positionH>
                <wp:positionV relativeFrom="paragraph">
                  <wp:posOffset>1236980</wp:posOffset>
                </wp:positionV>
                <wp:extent cx="120650" cy="174625"/>
                <wp:effectExtent l="19050" t="0" r="12700" b="15875"/>
                <wp:wrapNone/>
                <wp:docPr id="5" name="Flecha: hacia abaj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20650" cy="174625"/>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C2C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 o:spid="_x0000_s1026" type="#_x0000_t67" style="position:absolute;margin-left:190.1pt;margin-top:97.4pt;width:9.5pt;height:13.7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" adj="14138" fillcolor="#c00000" strokecolor="#c00000" strokeweight="1pt">
                <v:path arrowok="t"/>
              </v:shape>
            </w:pict>
          </mc:Fallback>
        </mc:AlternateContent>
      </w:r>
      <w:r w:rsidR="00CE2445" w:rsidRPr="00CE2445">
        <w:rPr>
          <w:noProof/>
          <w:sz w:val="20"/>
          <w:szCs w:val="20"/>
          <w:lang w:val="es-MX" w:eastAsia="es-MX"/>
        </w:rPr>
        <w:drawing>
          <wp:inline distT="0" distB="0" distL="0" distR="0" wp14:anchorId="0F608B54" wp14:editId="05CDCFBD">
            <wp:extent cx="5000625" cy="3057099"/>
            <wp:effectExtent l="0" t="0" r="0" b="0"/>
            <wp:docPr id="11079377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8852" cy="3062128"/>
                    </a:xfrm>
                    <a:prstGeom prst="rect">
                      <a:avLst/>
                    </a:prstGeom>
                    <a:noFill/>
                    <a:ln>
                      <a:noFill/>
                    </a:ln>
                  </pic:spPr>
                </pic:pic>
              </a:graphicData>
            </a:graphic>
          </wp:inline>
        </w:drawing>
      </w:r>
    </w:p>
    <w:p w14:paraId="57BE4F0F" w14:textId="77777777" w:rsidR="00CE2445" w:rsidRPr="0016047E" w:rsidRDefault="00CE2445" w:rsidP="00CE2445">
      <w:pPr>
        <w:spacing w:line="360" w:lineRule="auto"/>
        <w:ind w:left="284"/>
        <w:jc w:val="both"/>
        <w:rPr>
          <w:b/>
          <w:sz w:val="12"/>
          <w:szCs w:val="12"/>
          <w:lang w:val="es-MX"/>
        </w:rPr>
      </w:pPr>
      <w:r w:rsidRPr="0016047E">
        <w:rPr>
          <w:b/>
          <w:sz w:val="12"/>
          <w:szCs w:val="12"/>
          <w:lang w:val="es-MX"/>
        </w:rPr>
        <w:t>Fuente: Elaboración propia DCGCH.</w:t>
      </w:r>
    </w:p>
    <w:p w14:paraId="3AEBE218" w14:textId="77777777" w:rsidR="00CE2445" w:rsidRPr="00CE2445" w:rsidRDefault="00CE2445" w:rsidP="00CE2445">
      <w:pPr>
        <w:spacing w:line="360" w:lineRule="auto"/>
        <w:jc w:val="both"/>
        <w:rPr>
          <w:b/>
          <w:sz w:val="20"/>
          <w:szCs w:val="20"/>
        </w:rPr>
      </w:pPr>
    </w:p>
    <w:p w14:paraId="064D7EED" w14:textId="77777777" w:rsidR="00CE2445" w:rsidRPr="00CE2445" w:rsidRDefault="00CE2445" w:rsidP="00CE2445">
      <w:pPr>
        <w:spacing w:line="360" w:lineRule="auto"/>
        <w:jc w:val="both"/>
        <w:rPr>
          <w:sz w:val="20"/>
          <w:szCs w:val="20"/>
        </w:rPr>
      </w:pPr>
      <w:r w:rsidRPr="00CE2445">
        <w:rPr>
          <w:sz w:val="20"/>
          <w:szCs w:val="20"/>
        </w:rPr>
        <w:t>Para el ejercicio fiscal 2025, se prevé una variación del 8.15% en las participaciones federales e incentivos económicos, respecto de las cifras autorizadas en la Ley de Ingresos del Estado de Tlaxcala para el Ejercicio Fiscal 2024, tal y como se muestra en la gráfica siguiente:</w:t>
      </w:r>
    </w:p>
    <w:p w14:paraId="660AF328" w14:textId="77777777" w:rsidR="00CE2445" w:rsidRPr="00CE2445" w:rsidRDefault="00CE2445" w:rsidP="00CE2445">
      <w:pPr>
        <w:spacing w:line="360" w:lineRule="auto"/>
        <w:jc w:val="center"/>
        <w:rPr>
          <w:sz w:val="20"/>
          <w:szCs w:val="20"/>
        </w:rPr>
      </w:pPr>
      <w:r w:rsidRPr="00CE2445">
        <w:rPr>
          <w:noProof/>
          <w:sz w:val="20"/>
          <w:szCs w:val="20"/>
          <w:lang w:val="es-MX" w:eastAsia="es-MX"/>
        </w:rPr>
        <w:drawing>
          <wp:inline distT="0" distB="0" distL="0" distR="0" wp14:anchorId="43A73E4E" wp14:editId="020E1C78">
            <wp:extent cx="4200525" cy="2606528"/>
            <wp:effectExtent l="0" t="0" r="0" b="3810"/>
            <wp:docPr id="14965847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7559" cy="2623303"/>
                    </a:xfrm>
                    <a:prstGeom prst="rect">
                      <a:avLst/>
                    </a:prstGeom>
                    <a:noFill/>
                    <a:ln>
                      <a:noFill/>
                    </a:ln>
                  </pic:spPr>
                </pic:pic>
              </a:graphicData>
            </a:graphic>
          </wp:inline>
        </w:drawing>
      </w:r>
    </w:p>
    <w:p w14:paraId="411CAD7D" w14:textId="49A2DC1A" w:rsidR="00CE2445" w:rsidRPr="00CE2445" w:rsidRDefault="0016047E" w:rsidP="00CE2445">
      <w:pPr>
        <w:spacing w:line="360" w:lineRule="auto"/>
        <w:jc w:val="both"/>
        <w:rPr>
          <w:sz w:val="20"/>
          <w:szCs w:val="20"/>
        </w:rPr>
      </w:pPr>
      <w:r w:rsidRPr="009B0775">
        <w:rPr>
          <w:b/>
          <w:sz w:val="12"/>
          <w:szCs w:val="12"/>
        </w:rPr>
        <w:t>Fuente: Elaboración propia DCGCH</w:t>
      </w:r>
      <w:r w:rsidRPr="00CE2445">
        <w:rPr>
          <w:sz w:val="20"/>
          <w:szCs w:val="20"/>
        </w:rPr>
        <w:t xml:space="preserve"> </w:t>
      </w:r>
    </w:p>
    <w:p w14:paraId="04387B4A" w14:textId="77777777" w:rsidR="00CE2445" w:rsidRPr="00CE2445" w:rsidRDefault="00CE2445" w:rsidP="00CE2445">
      <w:pPr>
        <w:spacing w:line="360" w:lineRule="auto"/>
        <w:jc w:val="center"/>
        <w:rPr>
          <w:sz w:val="20"/>
          <w:szCs w:val="20"/>
        </w:rPr>
      </w:pPr>
      <w:r w:rsidRPr="00CE2445">
        <w:rPr>
          <w:noProof/>
          <w:sz w:val="20"/>
          <w:szCs w:val="20"/>
          <w:lang w:val="es-MX" w:eastAsia="es-MX"/>
        </w:rPr>
        <w:lastRenderedPageBreak/>
        <w:drawing>
          <wp:inline distT="0" distB="0" distL="0" distR="0" wp14:anchorId="7266CACF" wp14:editId="6C7F4F46">
            <wp:extent cx="3629025" cy="1896645"/>
            <wp:effectExtent l="0" t="0" r="0" b="8890"/>
            <wp:docPr id="9270557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251" cy="1928121"/>
                    </a:xfrm>
                    <a:prstGeom prst="rect">
                      <a:avLst/>
                    </a:prstGeom>
                    <a:noFill/>
                    <a:ln>
                      <a:noFill/>
                    </a:ln>
                  </pic:spPr>
                </pic:pic>
              </a:graphicData>
            </a:graphic>
          </wp:inline>
        </w:drawing>
      </w:r>
    </w:p>
    <w:p w14:paraId="05DE886C" w14:textId="77777777" w:rsidR="00CE2445" w:rsidRPr="0016047E" w:rsidRDefault="00CE2445" w:rsidP="00CE2445">
      <w:pPr>
        <w:spacing w:line="360" w:lineRule="auto"/>
        <w:ind w:left="1418"/>
        <w:jc w:val="both"/>
        <w:rPr>
          <w:b/>
          <w:sz w:val="12"/>
          <w:szCs w:val="12"/>
          <w:lang w:val="es-MX"/>
        </w:rPr>
      </w:pPr>
      <w:r w:rsidRPr="0016047E">
        <w:rPr>
          <w:b/>
          <w:sz w:val="12"/>
          <w:szCs w:val="12"/>
          <w:lang w:val="es-MX"/>
        </w:rPr>
        <w:t>Fuente: Elaboración propia DCGCH.</w:t>
      </w:r>
    </w:p>
    <w:p w14:paraId="45245619" w14:textId="77777777" w:rsidR="00CE2445" w:rsidRPr="00CE2445" w:rsidRDefault="00CE2445" w:rsidP="00CE2445">
      <w:pPr>
        <w:pStyle w:val="PRIMERAPLANA"/>
        <w:spacing w:line="360" w:lineRule="auto"/>
        <w:rPr>
          <w:rFonts w:ascii="Times New Roman" w:hAnsi="Times New Roman"/>
          <w:bCs/>
          <w:lang w:val="es-MX"/>
        </w:rPr>
      </w:pPr>
    </w:p>
    <w:p w14:paraId="1E07E622"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Para el ejercicio fiscal 2025, se prevé obtener un total de ingresos para el Estado de Tlaxcala por $29,129,883,393.00, provenientes de fuentes locales, participaciones e incentivos económicos, aportaciones federales, convenios suscritos con el Gobierno Federal y extraordinarios, lo que representa una variación del 5.37% respecto de las cifras autorizadas en la Ley de Ingresos del Estado de Tlaxcala, para el Ejercicio Fiscal 2024, tal y como se observa en la gráfica siguiente:</w:t>
      </w:r>
    </w:p>
    <w:p w14:paraId="30147328" w14:textId="77777777" w:rsidR="00CE2445" w:rsidRPr="00CE2445" w:rsidRDefault="00CE2445" w:rsidP="00CE2445">
      <w:pPr>
        <w:pStyle w:val="PRIMERAPLANA"/>
        <w:spacing w:line="360" w:lineRule="auto"/>
        <w:jc w:val="center"/>
        <w:rPr>
          <w:rFonts w:ascii="Times New Roman" w:hAnsi="Times New Roman"/>
          <w:bCs/>
          <w:lang w:val="es-MX"/>
        </w:rPr>
      </w:pPr>
      <w:r w:rsidRPr="00CE2445">
        <w:rPr>
          <w:rFonts w:ascii="Times New Roman" w:hAnsi="Times New Roman"/>
          <w:bCs/>
          <w:noProof/>
          <w:lang w:val="es-MX" w:eastAsia="es-MX"/>
        </w:rPr>
        <w:drawing>
          <wp:inline distT="0" distB="0" distL="0" distR="0" wp14:anchorId="6B112CBC" wp14:editId="0CEE0F54">
            <wp:extent cx="4381500" cy="1990725"/>
            <wp:effectExtent l="0" t="0" r="0" b="9525"/>
            <wp:docPr id="20808143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4494" cy="2010259"/>
                    </a:xfrm>
                    <a:prstGeom prst="rect">
                      <a:avLst/>
                    </a:prstGeom>
                    <a:noFill/>
                    <a:ln>
                      <a:noFill/>
                    </a:ln>
                  </pic:spPr>
                </pic:pic>
              </a:graphicData>
            </a:graphic>
          </wp:inline>
        </w:drawing>
      </w:r>
    </w:p>
    <w:p w14:paraId="1B927FFA" w14:textId="64424926" w:rsidR="00CE2445" w:rsidRDefault="00CE2445" w:rsidP="00CE2445">
      <w:pPr>
        <w:pStyle w:val="PRIMERAPLANA"/>
        <w:spacing w:line="360" w:lineRule="auto"/>
        <w:ind w:left="993"/>
        <w:rPr>
          <w:rFonts w:ascii="Times New Roman" w:hAnsi="Times New Roman"/>
          <w:b/>
          <w:sz w:val="12"/>
          <w:szCs w:val="12"/>
          <w:lang w:val="es-MX"/>
        </w:rPr>
      </w:pPr>
      <w:r w:rsidRPr="0016047E">
        <w:rPr>
          <w:rFonts w:ascii="Times New Roman" w:hAnsi="Times New Roman"/>
          <w:b/>
          <w:sz w:val="12"/>
          <w:szCs w:val="12"/>
          <w:lang w:val="es-MX"/>
        </w:rPr>
        <w:t>Fuente: Elaboración propia DCGCH.</w:t>
      </w:r>
    </w:p>
    <w:p w14:paraId="5DFD180F" w14:textId="77777777" w:rsidR="0016047E" w:rsidRPr="0016047E" w:rsidRDefault="0016047E" w:rsidP="00CE2445">
      <w:pPr>
        <w:pStyle w:val="PRIMERAPLANA"/>
        <w:spacing w:line="360" w:lineRule="auto"/>
        <w:ind w:left="993"/>
        <w:rPr>
          <w:rFonts w:ascii="Times New Roman" w:hAnsi="Times New Roman"/>
          <w:b/>
          <w:sz w:val="12"/>
          <w:szCs w:val="12"/>
          <w:lang w:val="es-MX"/>
        </w:rPr>
      </w:pPr>
    </w:p>
    <w:p w14:paraId="5E44675F"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La presente Iniciativa, garantiza que las fuentes de financiamiento de los programas y proyectos previstos en la Iniciativa de Decreto de Presupuesto de Egresos del Estado de Tlaxcala, para el Ejercicio Fiscal 2025, se aplicarán observando los principios de eficiencia, eficacia, economía y austeridad.</w:t>
      </w:r>
    </w:p>
    <w:p w14:paraId="013E8148" w14:textId="77777777" w:rsidR="00CE2445" w:rsidRPr="00CE2445" w:rsidRDefault="00CE2445" w:rsidP="00CE2445">
      <w:pPr>
        <w:pStyle w:val="PRIMERAPLANA"/>
        <w:spacing w:line="360" w:lineRule="auto"/>
        <w:rPr>
          <w:rFonts w:ascii="Times New Roman" w:hAnsi="Times New Roman"/>
          <w:bCs/>
          <w:lang w:val="es-MX"/>
        </w:rPr>
      </w:pPr>
    </w:p>
    <w:p w14:paraId="55F24B7F"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Los ingresos que obtenga el Gobierno del Estado y su aplicación, estarán en función de los preceptos establecidos en el Plan Estatal de Desarrollo 2021-2027, buscando siempre mantener finanzas públicas sanas con transparencia en el ejercicio del quehacer gubernamental, por lo que los esfuerzos del Gobierno del Estado se centrarán en:</w:t>
      </w:r>
    </w:p>
    <w:p w14:paraId="4B4724A6" w14:textId="77777777" w:rsidR="00CE2445" w:rsidRPr="00CE2445" w:rsidRDefault="00CE2445" w:rsidP="00CE2445">
      <w:pPr>
        <w:pStyle w:val="PRIMERAPLANA"/>
        <w:spacing w:line="360" w:lineRule="auto"/>
        <w:rPr>
          <w:rFonts w:ascii="Times New Roman" w:hAnsi="Times New Roman"/>
          <w:bCs/>
          <w:lang w:val="es-MX"/>
        </w:rPr>
      </w:pPr>
    </w:p>
    <w:p w14:paraId="0355CDA0" w14:textId="77777777" w:rsidR="00CE2445" w:rsidRPr="00CE2445" w:rsidRDefault="00CE2445" w:rsidP="00D50246">
      <w:pPr>
        <w:pStyle w:val="Prrafodelista"/>
        <w:numPr>
          <w:ilvl w:val="0"/>
          <w:numId w:val="14"/>
        </w:numPr>
        <w:spacing w:line="360" w:lineRule="auto"/>
        <w:jc w:val="both"/>
        <w:rPr>
          <w:sz w:val="20"/>
          <w:szCs w:val="20"/>
        </w:rPr>
      </w:pPr>
      <w:r w:rsidRPr="00CE2445">
        <w:rPr>
          <w:sz w:val="20"/>
          <w:szCs w:val="20"/>
        </w:rPr>
        <w:t>Fortalecer la recaudación de contribuciones locales, especialmente en lo relativo a impuestos y derechos para obtener mayores recursos e incrementar los coeficientes de participaciones federales.</w:t>
      </w:r>
    </w:p>
    <w:p w14:paraId="0DBE1406" w14:textId="77777777" w:rsidR="00CE2445" w:rsidRPr="00CE2445" w:rsidRDefault="00CE2445" w:rsidP="00CE2445">
      <w:pPr>
        <w:pStyle w:val="Prrafodelista"/>
        <w:spacing w:line="360" w:lineRule="auto"/>
        <w:ind w:left="720"/>
        <w:jc w:val="both"/>
        <w:rPr>
          <w:sz w:val="20"/>
          <w:szCs w:val="20"/>
        </w:rPr>
      </w:pPr>
    </w:p>
    <w:p w14:paraId="5012D3B0" w14:textId="41061D79" w:rsidR="00CE2445" w:rsidRPr="00CE2445" w:rsidRDefault="00CE2445" w:rsidP="00D50246">
      <w:pPr>
        <w:pStyle w:val="Prrafodelista"/>
        <w:numPr>
          <w:ilvl w:val="0"/>
          <w:numId w:val="14"/>
        </w:numPr>
        <w:spacing w:line="360" w:lineRule="auto"/>
        <w:jc w:val="both"/>
        <w:rPr>
          <w:sz w:val="20"/>
          <w:szCs w:val="20"/>
        </w:rPr>
      </w:pPr>
      <w:r w:rsidRPr="00CE2445">
        <w:rPr>
          <w:sz w:val="20"/>
          <w:szCs w:val="20"/>
        </w:rPr>
        <w:t xml:space="preserve">Fortalecer los </w:t>
      </w:r>
      <w:r w:rsidR="001F43AC">
        <w:rPr>
          <w:sz w:val="20"/>
          <w:szCs w:val="20"/>
        </w:rPr>
        <w:t>Ingresos Derivados de Fuentes Locales</w:t>
      </w:r>
      <w:r w:rsidRPr="00CE2445">
        <w:rPr>
          <w:sz w:val="20"/>
          <w:szCs w:val="20"/>
        </w:rPr>
        <w:t xml:space="preserve"> del Estado; teniendo como finalidad la mejora del Balance Presupuestario de Recursos Disponibles y el consecuente financiamiento del gasto en desarrollo social e inversión en obra pública, a través del uso eficiente de las potestades tributarias delegadas y de la ampliación de la base de contribuyentes.</w:t>
      </w:r>
    </w:p>
    <w:p w14:paraId="7D4FF8E6" w14:textId="77777777" w:rsidR="00CE2445" w:rsidRPr="00CE2445" w:rsidRDefault="00CE2445" w:rsidP="00CE2445">
      <w:pPr>
        <w:spacing w:line="360" w:lineRule="auto"/>
        <w:ind w:left="-11"/>
        <w:jc w:val="both"/>
        <w:rPr>
          <w:sz w:val="20"/>
          <w:szCs w:val="20"/>
        </w:rPr>
      </w:pPr>
    </w:p>
    <w:p w14:paraId="000C9A53" w14:textId="77777777" w:rsidR="00CE2445" w:rsidRPr="00CE2445" w:rsidRDefault="00CE2445" w:rsidP="00D50246">
      <w:pPr>
        <w:pStyle w:val="Prrafodelista"/>
        <w:numPr>
          <w:ilvl w:val="0"/>
          <w:numId w:val="14"/>
        </w:numPr>
        <w:spacing w:line="360" w:lineRule="auto"/>
        <w:jc w:val="both"/>
        <w:rPr>
          <w:sz w:val="20"/>
          <w:szCs w:val="20"/>
        </w:rPr>
      </w:pPr>
      <w:r w:rsidRPr="00CE2445">
        <w:rPr>
          <w:sz w:val="20"/>
          <w:szCs w:val="20"/>
        </w:rPr>
        <w:t xml:space="preserve">Fortalecer los mecanismos de Coordinación Fiscal, en congruencia con la nueva Administración Pública </w:t>
      </w:r>
      <w:proofErr w:type="gramStart"/>
      <w:r w:rsidRPr="00CE2445">
        <w:rPr>
          <w:sz w:val="20"/>
          <w:szCs w:val="20"/>
        </w:rPr>
        <w:t>Federal</w:t>
      </w:r>
      <w:proofErr w:type="gramEnd"/>
      <w:r w:rsidRPr="00CE2445">
        <w:rPr>
          <w:sz w:val="20"/>
          <w:szCs w:val="20"/>
        </w:rPr>
        <w:t xml:space="preserve"> así como la coordinación con los municipios del Estado, para incrementar las fuentes de ingresos locales.</w:t>
      </w:r>
    </w:p>
    <w:p w14:paraId="7E8924E9" w14:textId="77777777" w:rsidR="00CE2445" w:rsidRPr="00CE2445" w:rsidRDefault="00CE2445" w:rsidP="00CE2445">
      <w:pPr>
        <w:spacing w:line="360" w:lineRule="auto"/>
        <w:ind w:left="-11"/>
        <w:jc w:val="both"/>
        <w:rPr>
          <w:sz w:val="20"/>
          <w:szCs w:val="20"/>
        </w:rPr>
      </w:pPr>
    </w:p>
    <w:p w14:paraId="6E59F8C7" w14:textId="5190EECF" w:rsidR="00CE2445" w:rsidRDefault="00CE2445" w:rsidP="00D50246">
      <w:pPr>
        <w:pStyle w:val="Prrafodelista"/>
        <w:numPr>
          <w:ilvl w:val="0"/>
          <w:numId w:val="14"/>
        </w:numPr>
        <w:spacing w:line="360" w:lineRule="auto"/>
        <w:jc w:val="both"/>
        <w:rPr>
          <w:sz w:val="20"/>
          <w:szCs w:val="20"/>
        </w:rPr>
      </w:pPr>
      <w:r w:rsidRPr="00CE2445">
        <w:rPr>
          <w:sz w:val="20"/>
          <w:szCs w:val="20"/>
        </w:rPr>
        <w:t>Cumplir con las metas de Ingresos Presupuestarios; que permitan mantener finanzas públicas sanas.</w:t>
      </w:r>
    </w:p>
    <w:p w14:paraId="4026629A" w14:textId="77777777" w:rsidR="0016047E" w:rsidRPr="0016047E" w:rsidRDefault="0016047E" w:rsidP="0016047E">
      <w:pPr>
        <w:spacing w:line="360" w:lineRule="auto"/>
        <w:jc w:val="both"/>
        <w:rPr>
          <w:sz w:val="20"/>
          <w:szCs w:val="20"/>
        </w:rPr>
      </w:pPr>
    </w:p>
    <w:p w14:paraId="0CA9D4C5" w14:textId="3D33B4EA" w:rsidR="00CE2445" w:rsidRPr="00CE2445" w:rsidRDefault="00CE2445" w:rsidP="00CE2445">
      <w:pPr>
        <w:spacing w:line="360" w:lineRule="auto"/>
        <w:ind w:left="-11"/>
        <w:jc w:val="both"/>
        <w:rPr>
          <w:sz w:val="20"/>
          <w:szCs w:val="20"/>
        </w:rPr>
      </w:pPr>
      <w:r w:rsidRPr="00CE2445">
        <w:rPr>
          <w:sz w:val="20"/>
          <w:szCs w:val="20"/>
        </w:rPr>
        <w:t xml:space="preserve">Para tales fines, se propone la consolidación de un gobierno cercano con visión extendida, comprometido y de resultados, transparente y de rendición de cuentas, de </w:t>
      </w:r>
      <w:proofErr w:type="gramStart"/>
      <w:r w:rsidR="00162DF8" w:rsidRPr="00CE2445">
        <w:rPr>
          <w:sz w:val="20"/>
          <w:szCs w:val="20"/>
        </w:rPr>
        <w:t>cero tolerancia</w:t>
      </w:r>
      <w:proofErr w:type="gramEnd"/>
      <w:r w:rsidRPr="00CE2445">
        <w:rPr>
          <w:sz w:val="20"/>
          <w:szCs w:val="20"/>
        </w:rPr>
        <w:t xml:space="preserve"> a la corrupción y sensible a las necesidades sociales, a través de las siguientes estrategias:</w:t>
      </w:r>
    </w:p>
    <w:p w14:paraId="6A544163" w14:textId="77777777" w:rsidR="00CE2445" w:rsidRPr="00CE2445" w:rsidRDefault="00CE2445" w:rsidP="00CE2445">
      <w:pPr>
        <w:spacing w:line="360" w:lineRule="auto"/>
        <w:ind w:left="-11"/>
        <w:jc w:val="both"/>
        <w:rPr>
          <w:sz w:val="20"/>
          <w:szCs w:val="20"/>
        </w:rPr>
      </w:pPr>
    </w:p>
    <w:p w14:paraId="3D5D592B" w14:textId="77777777" w:rsidR="00CE2445" w:rsidRPr="00CE2445" w:rsidRDefault="00CE2445" w:rsidP="00D50246">
      <w:pPr>
        <w:pStyle w:val="PRIMERAPLANA"/>
        <w:numPr>
          <w:ilvl w:val="0"/>
          <w:numId w:val="18"/>
        </w:numPr>
        <w:spacing w:line="360" w:lineRule="auto"/>
        <w:rPr>
          <w:rFonts w:ascii="Times New Roman" w:hAnsi="Times New Roman"/>
          <w:bCs/>
          <w:lang w:val="es-MX"/>
        </w:rPr>
      </w:pPr>
      <w:r w:rsidRPr="00CE2445">
        <w:rPr>
          <w:rFonts w:ascii="Times New Roman" w:hAnsi="Times New Roman"/>
          <w:bCs/>
          <w:lang w:val="es-MX"/>
        </w:rPr>
        <w:t>Llevar a cabo campañas de concientización y difusión, proporcionar asistencia y asesorías a los contribuyentes para disminuir la informalidad y aumentar la presencia fiscal.</w:t>
      </w:r>
    </w:p>
    <w:p w14:paraId="4132972B" w14:textId="77777777" w:rsidR="00CE2445" w:rsidRPr="00CE2445" w:rsidRDefault="00CE2445" w:rsidP="00CE2445">
      <w:pPr>
        <w:pStyle w:val="PRIMERAPLANA"/>
        <w:spacing w:line="360" w:lineRule="auto"/>
        <w:ind w:left="720"/>
        <w:rPr>
          <w:rFonts w:ascii="Times New Roman" w:hAnsi="Times New Roman"/>
          <w:bCs/>
          <w:lang w:val="es-MX"/>
        </w:rPr>
      </w:pPr>
    </w:p>
    <w:p w14:paraId="4CDE3093" w14:textId="12374638" w:rsidR="00CE2445" w:rsidRPr="00CE2445" w:rsidRDefault="00CE2445" w:rsidP="00D50246">
      <w:pPr>
        <w:pStyle w:val="PRIMERAPLANA"/>
        <w:numPr>
          <w:ilvl w:val="0"/>
          <w:numId w:val="18"/>
        </w:numPr>
        <w:spacing w:line="360" w:lineRule="auto"/>
        <w:rPr>
          <w:rFonts w:ascii="Times New Roman" w:hAnsi="Times New Roman"/>
          <w:bCs/>
          <w:lang w:val="es-MX"/>
        </w:rPr>
      </w:pPr>
      <w:r w:rsidRPr="00CE2445">
        <w:rPr>
          <w:rFonts w:ascii="Times New Roman" w:hAnsi="Times New Roman"/>
          <w:bCs/>
          <w:lang w:val="es-MX"/>
        </w:rPr>
        <w:t xml:space="preserve">Otorgar incentivos fiscales a las micro y </w:t>
      </w:r>
      <w:r w:rsidR="00162DF8" w:rsidRPr="00CE2445">
        <w:rPr>
          <w:rFonts w:ascii="Times New Roman" w:hAnsi="Times New Roman"/>
          <w:bCs/>
          <w:lang w:val="es-MX"/>
        </w:rPr>
        <w:t>pequeñas empresas</w:t>
      </w:r>
      <w:r w:rsidRPr="00CE2445">
        <w:rPr>
          <w:rFonts w:ascii="Times New Roman" w:hAnsi="Times New Roman"/>
          <w:bCs/>
          <w:lang w:val="es-MX"/>
        </w:rPr>
        <w:t xml:space="preserve">, que incentiven la inversión en el Estado. </w:t>
      </w:r>
    </w:p>
    <w:p w14:paraId="02FA5D16" w14:textId="77777777" w:rsidR="00CE2445" w:rsidRPr="00CE2445" w:rsidRDefault="00CE2445" w:rsidP="00CE2445">
      <w:pPr>
        <w:pStyle w:val="Prrafodelista"/>
        <w:rPr>
          <w:bCs/>
          <w:sz w:val="20"/>
          <w:szCs w:val="20"/>
        </w:rPr>
      </w:pPr>
    </w:p>
    <w:p w14:paraId="59D1B4C3" w14:textId="77777777" w:rsidR="00CE2445" w:rsidRPr="00CE2445" w:rsidRDefault="00CE2445" w:rsidP="00D50246">
      <w:pPr>
        <w:pStyle w:val="PRIMERAPLANA"/>
        <w:numPr>
          <w:ilvl w:val="0"/>
          <w:numId w:val="18"/>
        </w:numPr>
        <w:spacing w:line="360" w:lineRule="auto"/>
        <w:rPr>
          <w:rFonts w:ascii="Times New Roman" w:hAnsi="Times New Roman"/>
          <w:bCs/>
          <w:lang w:val="es-MX"/>
        </w:rPr>
      </w:pPr>
      <w:r w:rsidRPr="00CE2445">
        <w:rPr>
          <w:rFonts w:ascii="Times New Roman" w:hAnsi="Times New Roman"/>
          <w:bCs/>
          <w:lang w:val="es-MX"/>
        </w:rPr>
        <w:t>Simplificar los trámites administrativos para el pago de contribuciones a través del uso de tecnologías de la información para que el contribuyente pueda realizar trámites a través del Portal de la Secretaría de Finanzas.</w:t>
      </w:r>
    </w:p>
    <w:p w14:paraId="5D107747" w14:textId="77777777" w:rsidR="00CE2445" w:rsidRPr="00CE2445" w:rsidRDefault="00CE2445" w:rsidP="00CE2445">
      <w:pPr>
        <w:pStyle w:val="Prrafodelista"/>
        <w:rPr>
          <w:bCs/>
          <w:sz w:val="20"/>
          <w:szCs w:val="20"/>
        </w:rPr>
      </w:pPr>
    </w:p>
    <w:p w14:paraId="5BBCD8DA" w14:textId="77777777" w:rsidR="00CE2445" w:rsidRPr="00CE2445" w:rsidRDefault="00CE2445" w:rsidP="00D50246">
      <w:pPr>
        <w:pStyle w:val="PRIMERAPLANA"/>
        <w:numPr>
          <w:ilvl w:val="0"/>
          <w:numId w:val="18"/>
        </w:numPr>
        <w:spacing w:line="360" w:lineRule="auto"/>
        <w:rPr>
          <w:rFonts w:ascii="Times New Roman" w:hAnsi="Times New Roman"/>
          <w:bCs/>
          <w:lang w:val="es-MX"/>
        </w:rPr>
      </w:pPr>
      <w:r w:rsidRPr="00CE2445">
        <w:rPr>
          <w:rFonts w:ascii="Times New Roman" w:hAnsi="Times New Roman"/>
          <w:bCs/>
          <w:lang w:val="es-MX"/>
        </w:rPr>
        <w:t>Establecer convenios para el cumplimiento de obligaciones fiscales, así como programas para la revisión y fiscalización que incrementen el cobro de contribuciones locales.</w:t>
      </w:r>
    </w:p>
    <w:p w14:paraId="76D7F8E9" w14:textId="77777777" w:rsidR="00CE2445" w:rsidRPr="00CE2445" w:rsidRDefault="00CE2445" w:rsidP="00CE2445">
      <w:pPr>
        <w:pStyle w:val="Prrafodelista"/>
        <w:rPr>
          <w:bCs/>
          <w:sz w:val="20"/>
          <w:szCs w:val="20"/>
        </w:rPr>
      </w:pPr>
    </w:p>
    <w:p w14:paraId="5674FB0E" w14:textId="77777777" w:rsidR="00CE2445" w:rsidRPr="00CE2445" w:rsidRDefault="00CE2445" w:rsidP="00D50246">
      <w:pPr>
        <w:pStyle w:val="PRIMERAPLANA"/>
        <w:numPr>
          <w:ilvl w:val="0"/>
          <w:numId w:val="18"/>
        </w:numPr>
        <w:spacing w:line="360" w:lineRule="auto"/>
        <w:rPr>
          <w:rFonts w:ascii="Times New Roman" w:hAnsi="Times New Roman"/>
          <w:bCs/>
          <w:lang w:val="es-MX"/>
        </w:rPr>
      </w:pPr>
      <w:r w:rsidRPr="00CE2445">
        <w:rPr>
          <w:rFonts w:ascii="Times New Roman" w:hAnsi="Times New Roman"/>
          <w:bCs/>
          <w:lang w:val="es-MX"/>
        </w:rPr>
        <w:lastRenderedPageBreak/>
        <w:t xml:space="preserve">Fortalecer la participación del Estado en el Sistema Nacional de Coordinación Fiscal, así como en los Comités y Grupos de Trabajo de la Comisión Permanente de </w:t>
      </w:r>
      <w:proofErr w:type="gramStart"/>
      <w:r w:rsidRPr="00CE2445">
        <w:rPr>
          <w:rFonts w:ascii="Times New Roman" w:hAnsi="Times New Roman"/>
          <w:bCs/>
          <w:lang w:val="es-MX"/>
        </w:rPr>
        <w:t>Funcionarios</w:t>
      </w:r>
      <w:proofErr w:type="gramEnd"/>
      <w:r w:rsidRPr="00CE2445">
        <w:rPr>
          <w:rFonts w:ascii="Times New Roman" w:hAnsi="Times New Roman"/>
          <w:bCs/>
          <w:lang w:val="es-MX"/>
        </w:rPr>
        <w:t xml:space="preserve"> Fiscales.</w:t>
      </w:r>
    </w:p>
    <w:p w14:paraId="60D01E07" w14:textId="77777777" w:rsidR="00CE2445" w:rsidRPr="00CE2445" w:rsidRDefault="00CE2445" w:rsidP="00CE2445">
      <w:pPr>
        <w:pStyle w:val="Prrafodelista"/>
        <w:rPr>
          <w:bCs/>
          <w:sz w:val="20"/>
          <w:szCs w:val="20"/>
        </w:rPr>
      </w:pPr>
    </w:p>
    <w:p w14:paraId="2B1CD97F" w14:textId="77777777" w:rsidR="00CE2445" w:rsidRPr="00CE2445" w:rsidRDefault="00CE2445" w:rsidP="00D50246">
      <w:pPr>
        <w:pStyle w:val="PRIMERAPLANA"/>
        <w:numPr>
          <w:ilvl w:val="0"/>
          <w:numId w:val="18"/>
        </w:numPr>
        <w:spacing w:line="360" w:lineRule="auto"/>
        <w:rPr>
          <w:rFonts w:ascii="Times New Roman" w:hAnsi="Times New Roman"/>
          <w:bCs/>
          <w:lang w:val="es-MX"/>
        </w:rPr>
      </w:pPr>
      <w:r w:rsidRPr="00CE2445">
        <w:rPr>
          <w:rFonts w:ascii="Times New Roman" w:hAnsi="Times New Roman"/>
          <w:bCs/>
          <w:lang w:val="es-MX"/>
        </w:rPr>
        <w:t>Fortalecer la estrategia para diversificar las formas de pago e incrementar los puntos de cobro de contribuciones para facilitar el cumplimiento de obligaciones fiscales.</w:t>
      </w:r>
    </w:p>
    <w:p w14:paraId="0CD0A6A5" w14:textId="77777777" w:rsidR="00CE2445" w:rsidRPr="00CE2445" w:rsidRDefault="00CE2445" w:rsidP="00CE2445">
      <w:pPr>
        <w:pStyle w:val="Prrafodelista"/>
        <w:rPr>
          <w:bCs/>
          <w:sz w:val="20"/>
          <w:szCs w:val="20"/>
        </w:rPr>
      </w:pPr>
    </w:p>
    <w:p w14:paraId="3B95C2B0" w14:textId="77777777" w:rsidR="00CE2445" w:rsidRPr="00CE2445" w:rsidRDefault="00CE2445" w:rsidP="00D50246">
      <w:pPr>
        <w:pStyle w:val="Prrafodelista"/>
        <w:numPr>
          <w:ilvl w:val="0"/>
          <w:numId w:val="18"/>
        </w:numPr>
        <w:spacing w:line="360" w:lineRule="auto"/>
        <w:jc w:val="both"/>
        <w:rPr>
          <w:sz w:val="20"/>
          <w:szCs w:val="20"/>
        </w:rPr>
      </w:pPr>
      <w:r w:rsidRPr="00CE2445">
        <w:rPr>
          <w:sz w:val="20"/>
          <w:szCs w:val="20"/>
        </w:rPr>
        <w:t>Fortalecer las fuentes de ingresos federales y los esquemas de incentivos derivados del Convenio de Colaboración Administrativa en Materia Fiscal Federal.</w:t>
      </w:r>
    </w:p>
    <w:p w14:paraId="7B5A9CFF" w14:textId="77777777" w:rsidR="00CE2445" w:rsidRPr="00CE2445" w:rsidRDefault="00CE2445" w:rsidP="00CE2445">
      <w:pPr>
        <w:pStyle w:val="Prrafodelista"/>
        <w:rPr>
          <w:sz w:val="20"/>
          <w:szCs w:val="20"/>
        </w:rPr>
      </w:pPr>
    </w:p>
    <w:p w14:paraId="5E45D247" w14:textId="77777777" w:rsidR="00CE2445" w:rsidRPr="00CE2445" w:rsidRDefault="00CE2445" w:rsidP="00D50246">
      <w:pPr>
        <w:pStyle w:val="Prrafodelista"/>
        <w:numPr>
          <w:ilvl w:val="0"/>
          <w:numId w:val="18"/>
        </w:numPr>
        <w:spacing w:line="360" w:lineRule="auto"/>
        <w:jc w:val="both"/>
        <w:rPr>
          <w:sz w:val="20"/>
          <w:szCs w:val="20"/>
        </w:rPr>
      </w:pPr>
      <w:r w:rsidRPr="00CE2445">
        <w:rPr>
          <w:sz w:val="20"/>
          <w:szCs w:val="20"/>
        </w:rPr>
        <w:t>Mejorar las capacidades administrativas de los Organismos Descentralizados para el timbrado en tiempo y forma de la nómina de empleados estatales, para recibir las participaciones establecidas en el artículo 3-B de la Ley de Coordinación Fiscal.</w:t>
      </w:r>
    </w:p>
    <w:p w14:paraId="37A0E082" w14:textId="77777777" w:rsidR="00CE2445" w:rsidRPr="00CE2445" w:rsidRDefault="00CE2445" w:rsidP="00CE2445">
      <w:pPr>
        <w:pStyle w:val="Prrafodelista"/>
        <w:rPr>
          <w:sz w:val="20"/>
          <w:szCs w:val="20"/>
        </w:rPr>
      </w:pPr>
    </w:p>
    <w:p w14:paraId="31D1B897" w14:textId="77777777" w:rsidR="00CE2445" w:rsidRPr="00CE2445" w:rsidRDefault="00CE2445" w:rsidP="00D50246">
      <w:pPr>
        <w:pStyle w:val="Prrafodelista"/>
        <w:numPr>
          <w:ilvl w:val="0"/>
          <w:numId w:val="18"/>
        </w:numPr>
        <w:spacing w:line="360" w:lineRule="auto"/>
        <w:jc w:val="both"/>
        <w:rPr>
          <w:sz w:val="20"/>
          <w:szCs w:val="20"/>
        </w:rPr>
      </w:pPr>
      <w:r w:rsidRPr="00CE2445">
        <w:rPr>
          <w:sz w:val="20"/>
          <w:szCs w:val="20"/>
        </w:rPr>
        <w:t>Enviar cartas invitación para incentivar a los contribuyentes a regularizar su situación fiscal.</w:t>
      </w:r>
    </w:p>
    <w:p w14:paraId="55A338C5" w14:textId="77777777" w:rsidR="00CE2445" w:rsidRPr="00CE2445" w:rsidRDefault="00CE2445" w:rsidP="00CE2445">
      <w:pPr>
        <w:pStyle w:val="Prrafodelista"/>
        <w:rPr>
          <w:sz w:val="20"/>
          <w:szCs w:val="20"/>
        </w:rPr>
      </w:pPr>
    </w:p>
    <w:p w14:paraId="71C5B514" w14:textId="77777777" w:rsidR="00CE2445" w:rsidRPr="00CE2445" w:rsidRDefault="00CE2445" w:rsidP="00D50246">
      <w:pPr>
        <w:pStyle w:val="Prrafodelista"/>
        <w:numPr>
          <w:ilvl w:val="0"/>
          <w:numId w:val="18"/>
        </w:numPr>
        <w:spacing w:line="360" w:lineRule="auto"/>
        <w:jc w:val="both"/>
        <w:rPr>
          <w:sz w:val="20"/>
          <w:szCs w:val="20"/>
        </w:rPr>
      </w:pPr>
      <w:r w:rsidRPr="00CE2445">
        <w:rPr>
          <w:sz w:val="20"/>
          <w:szCs w:val="20"/>
        </w:rPr>
        <w:t>Bancarizar el pago de servicios prestados por Organismos Públicos Descentralizados, así como de las dependencias del sector central.</w:t>
      </w:r>
    </w:p>
    <w:p w14:paraId="48C0C676" w14:textId="77777777" w:rsidR="00CE2445" w:rsidRPr="00CE2445" w:rsidRDefault="00CE2445" w:rsidP="00CE2445">
      <w:pPr>
        <w:pStyle w:val="Prrafodelista"/>
        <w:rPr>
          <w:sz w:val="20"/>
          <w:szCs w:val="20"/>
        </w:rPr>
      </w:pPr>
    </w:p>
    <w:p w14:paraId="268A82FF" w14:textId="77777777" w:rsidR="00CE2445" w:rsidRPr="00CE2445" w:rsidRDefault="00CE2445" w:rsidP="00D50246">
      <w:pPr>
        <w:pStyle w:val="Prrafodelista"/>
        <w:numPr>
          <w:ilvl w:val="0"/>
          <w:numId w:val="18"/>
        </w:numPr>
        <w:spacing w:line="360" w:lineRule="auto"/>
        <w:jc w:val="both"/>
        <w:rPr>
          <w:sz w:val="20"/>
          <w:szCs w:val="20"/>
        </w:rPr>
      </w:pPr>
      <w:r w:rsidRPr="00CE2445">
        <w:rPr>
          <w:sz w:val="20"/>
          <w:szCs w:val="20"/>
        </w:rPr>
        <w:t>Cumplimiento de la normatividad emitida por el Consejo Nacional de Armonización Contable (CONAC).</w:t>
      </w:r>
    </w:p>
    <w:p w14:paraId="2AD03A38" w14:textId="77777777" w:rsidR="00CE2445" w:rsidRPr="00CE2445" w:rsidRDefault="00CE2445" w:rsidP="00CE2445">
      <w:pPr>
        <w:pStyle w:val="Prrafodelista"/>
        <w:rPr>
          <w:sz w:val="20"/>
          <w:szCs w:val="20"/>
        </w:rPr>
      </w:pPr>
    </w:p>
    <w:p w14:paraId="1156380F" w14:textId="77777777" w:rsidR="00CE2445" w:rsidRPr="00CE2445" w:rsidRDefault="00CE2445" w:rsidP="00D50246">
      <w:pPr>
        <w:pStyle w:val="Prrafodelista"/>
        <w:numPr>
          <w:ilvl w:val="0"/>
          <w:numId w:val="18"/>
        </w:numPr>
        <w:spacing w:line="360" w:lineRule="auto"/>
        <w:jc w:val="both"/>
        <w:rPr>
          <w:sz w:val="20"/>
          <w:szCs w:val="20"/>
        </w:rPr>
      </w:pPr>
      <w:r w:rsidRPr="00CE2445">
        <w:rPr>
          <w:sz w:val="20"/>
          <w:szCs w:val="20"/>
        </w:rPr>
        <w:t>Congruencia en los pronósticos de recaudación federal y estatal considerando riesgos fiscales, evolución y perspectivas económicas.</w:t>
      </w:r>
    </w:p>
    <w:p w14:paraId="33B15664" w14:textId="77777777" w:rsidR="00CE2445" w:rsidRPr="00CE2445" w:rsidRDefault="00CE2445" w:rsidP="00CE2445">
      <w:pPr>
        <w:pStyle w:val="Prrafodelista"/>
        <w:rPr>
          <w:sz w:val="20"/>
          <w:szCs w:val="20"/>
        </w:rPr>
      </w:pPr>
    </w:p>
    <w:p w14:paraId="354C03FC" w14:textId="77777777" w:rsidR="00CE2445" w:rsidRPr="00CE2445" w:rsidRDefault="00CE2445" w:rsidP="00D50246">
      <w:pPr>
        <w:pStyle w:val="Prrafodelista"/>
        <w:numPr>
          <w:ilvl w:val="0"/>
          <w:numId w:val="18"/>
        </w:numPr>
        <w:spacing w:line="360" w:lineRule="auto"/>
        <w:jc w:val="both"/>
        <w:rPr>
          <w:sz w:val="20"/>
          <w:szCs w:val="20"/>
        </w:rPr>
      </w:pPr>
      <w:r w:rsidRPr="00CE2445">
        <w:rPr>
          <w:sz w:val="20"/>
          <w:szCs w:val="20"/>
        </w:rPr>
        <w:t>Integración del Paquete Económico conforme a lo establecido en la Ley de Disciplina Financiera de las Entidades Federativas y los Municipios.</w:t>
      </w:r>
    </w:p>
    <w:p w14:paraId="4041A33A" w14:textId="77777777" w:rsidR="00CE2445" w:rsidRPr="00CE2445" w:rsidRDefault="00CE2445" w:rsidP="00CE2445">
      <w:pPr>
        <w:pStyle w:val="Prrafodelista"/>
        <w:rPr>
          <w:sz w:val="20"/>
          <w:szCs w:val="20"/>
        </w:rPr>
      </w:pPr>
    </w:p>
    <w:p w14:paraId="311FC941" w14:textId="77777777" w:rsidR="00CE2445" w:rsidRPr="00CE2445" w:rsidRDefault="00CE2445" w:rsidP="00D50246">
      <w:pPr>
        <w:pStyle w:val="Prrafodelista"/>
        <w:numPr>
          <w:ilvl w:val="0"/>
          <w:numId w:val="18"/>
        </w:numPr>
        <w:spacing w:line="360" w:lineRule="auto"/>
        <w:jc w:val="both"/>
        <w:rPr>
          <w:sz w:val="20"/>
          <w:szCs w:val="20"/>
        </w:rPr>
      </w:pPr>
      <w:r w:rsidRPr="00CE2445">
        <w:rPr>
          <w:sz w:val="20"/>
          <w:szCs w:val="20"/>
        </w:rPr>
        <w:t>Finanzas Estatales sanas.</w:t>
      </w:r>
    </w:p>
    <w:p w14:paraId="2B788CA5" w14:textId="77777777" w:rsidR="00CE2445" w:rsidRPr="00CE2445" w:rsidRDefault="00CE2445" w:rsidP="00CE2445">
      <w:pPr>
        <w:spacing w:line="360" w:lineRule="auto"/>
        <w:ind w:left="-11"/>
        <w:jc w:val="both"/>
        <w:rPr>
          <w:sz w:val="20"/>
          <w:szCs w:val="20"/>
        </w:rPr>
      </w:pPr>
    </w:p>
    <w:p w14:paraId="4AB85B1A" w14:textId="77777777" w:rsidR="00CE2445" w:rsidRPr="00CE2445" w:rsidRDefault="00CE2445" w:rsidP="00CE2445">
      <w:pPr>
        <w:spacing w:line="360" w:lineRule="auto"/>
        <w:ind w:left="-11"/>
        <w:jc w:val="both"/>
        <w:rPr>
          <w:sz w:val="20"/>
          <w:szCs w:val="20"/>
        </w:rPr>
      </w:pPr>
      <w:r w:rsidRPr="00CE2445">
        <w:rPr>
          <w:sz w:val="20"/>
          <w:szCs w:val="20"/>
        </w:rPr>
        <w:t>Para transformar las condiciones de desarrollo de Tlaxcala, a través de acciones contundentes que consoliden las bases de un Estado sólido y promuevan el empleo, a fin de que su gente disfrute de una vida digna y segura, moderna y en unidad, con progresión de los derechos, la vigencia de la perspectiva de género y la felicidad de las familias y las personas, se plantean las siguientes Metas:</w:t>
      </w:r>
    </w:p>
    <w:p w14:paraId="1D8BC106" w14:textId="77777777" w:rsidR="00CE2445" w:rsidRPr="00CE2445" w:rsidRDefault="00CE2445" w:rsidP="00CE2445">
      <w:pPr>
        <w:spacing w:line="360" w:lineRule="auto"/>
        <w:ind w:left="-11"/>
        <w:jc w:val="both"/>
        <w:rPr>
          <w:sz w:val="20"/>
          <w:szCs w:val="20"/>
        </w:rPr>
      </w:pPr>
    </w:p>
    <w:p w14:paraId="1578CF16" w14:textId="77777777" w:rsidR="00CE2445" w:rsidRPr="00CE2445" w:rsidRDefault="00CE2445" w:rsidP="00D50246">
      <w:pPr>
        <w:pStyle w:val="Prrafodelista"/>
        <w:numPr>
          <w:ilvl w:val="0"/>
          <w:numId w:val="15"/>
        </w:numPr>
        <w:spacing w:line="360" w:lineRule="auto"/>
        <w:jc w:val="both"/>
        <w:rPr>
          <w:sz w:val="20"/>
          <w:szCs w:val="20"/>
        </w:rPr>
      </w:pPr>
      <w:r w:rsidRPr="00CE2445">
        <w:rPr>
          <w:sz w:val="20"/>
          <w:szCs w:val="20"/>
        </w:rPr>
        <w:t>Incrementar los ingresos del Estado en términos reales.</w:t>
      </w:r>
    </w:p>
    <w:p w14:paraId="56AD328B" w14:textId="77777777" w:rsidR="00CE2445" w:rsidRPr="00CE2445" w:rsidRDefault="00CE2445" w:rsidP="00CE2445">
      <w:pPr>
        <w:spacing w:line="360" w:lineRule="auto"/>
        <w:ind w:left="-11"/>
        <w:jc w:val="both"/>
        <w:rPr>
          <w:sz w:val="20"/>
          <w:szCs w:val="20"/>
        </w:rPr>
      </w:pPr>
    </w:p>
    <w:p w14:paraId="4D78D723" w14:textId="77777777" w:rsidR="00CE2445" w:rsidRPr="00CE2445" w:rsidRDefault="00CE2445" w:rsidP="00D50246">
      <w:pPr>
        <w:pStyle w:val="Prrafodelista"/>
        <w:numPr>
          <w:ilvl w:val="0"/>
          <w:numId w:val="15"/>
        </w:numPr>
        <w:spacing w:line="360" w:lineRule="auto"/>
        <w:jc w:val="both"/>
        <w:rPr>
          <w:sz w:val="20"/>
          <w:szCs w:val="20"/>
        </w:rPr>
      </w:pPr>
      <w:r w:rsidRPr="00CE2445">
        <w:rPr>
          <w:sz w:val="20"/>
          <w:szCs w:val="20"/>
        </w:rPr>
        <w:lastRenderedPageBreak/>
        <w:t>Disminuir el rezago en el pago de obligaciones a cargo de los contribuyentes, así como la elusión y evasión fiscales.</w:t>
      </w:r>
    </w:p>
    <w:p w14:paraId="2FE22EFC" w14:textId="77777777" w:rsidR="00CE2445" w:rsidRPr="00CE2445" w:rsidRDefault="00CE2445" w:rsidP="00CE2445">
      <w:pPr>
        <w:spacing w:line="360" w:lineRule="auto"/>
        <w:ind w:left="-11"/>
        <w:jc w:val="both"/>
        <w:rPr>
          <w:sz w:val="20"/>
          <w:szCs w:val="20"/>
        </w:rPr>
      </w:pPr>
    </w:p>
    <w:p w14:paraId="13314826" w14:textId="77777777" w:rsidR="00CE2445" w:rsidRPr="00CE2445" w:rsidRDefault="00CE2445" w:rsidP="00D50246">
      <w:pPr>
        <w:pStyle w:val="Prrafodelista"/>
        <w:numPr>
          <w:ilvl w:val="0"/>
          <w:numId w:val="15"/>
        </w:numPr>
        <w:spacing w:line="360" w:lineRule="auto"/>
        <w:jc w:val="both"/>
        <w:rPr>
          <w:sz w:val="20"/>
          <w:szCs w:val="20"/>
        </w:rPr>
      </w:pPr>
      <w:r w:rsidRPr="00CE2445">
        <w:rPr>
          <w:sz w:val="20"/>
          <w:szCs w:val="20"/>
        </w:rPr>
        <w:t>Reducir el porcentaje de dependencia del Estado de las transferencias federales.</w:t>
      </w:r>
    </w:p>
    <w:p w14:paraId="64A9A209" w14:textId="77777777" w:rsidR="00CE2445" w:rsidRPr="00CE2445" w:rsidRDefault="00CE2445" w:rsidP="00CE2445">
      <w:pPr>
        <w:spacing w:line="360" w:lineRule="auto"/>
        <w:ind w:left="-11"/>
        <w:jc w:val="both"/>
        <w:rPr>
          <w:sz w:val="20"/>
          <w:szCs w:val="20"/>
        </w:rPr>
      </w:pPr>
    </w:p>
    <w:p w14:paraId="5ABA1101" w14:textId="77777777" w:rsidR="00CE2445" w:rsidRPr="00CE2445" w:rsidRDefault="00CE2445" w:rsidP="00D50246">
      <w:pPr>
        <w:pStyle w:val="Prrafodelista"/>
        <w:numPr>
          <w:ilvl w:val="0"/>
          <w:numId w:val="15"/>
        </w:numPr>
        <w:spacing w:line="360" w:lineRule="auto"/>
        <w:jc w:val="both"/>
        <w:rPr>
          <w:sz w:val="20"/>
          <w:szCs w:val="20"/>
        </w:rPr>
      </w:pPr>
      <w:r w:rsidRPr="00CE2445">
        <w:rPr>
          <w:sz w:val="20"/>
          <w:szCs w:val="20"/>
        </w:rPr>
        <w:t>Incrementar el número de operaciones por trámites realizados por los contribuyentes a través de medios electrónicos.</w:t>
      </w:r>
    </w:p>
    <w:p w14:paraId="2F2B361F" w14:textId="77777777" w:rsidR="00CE2445" w:rsidRPr="00CE2445" w:rsidRDefault="00CE2445" w:rsidP="00CE2445">
      <w:pPr>
        <w:spacing w:line="360" w:lineRule="auto"/>
        <w:ind w:left="-11"/>
        <w:jc w:val="both"/>
        <w:rPr>
          <w:sz w:val="20"/>
          <w:szCs w:val="20"/>
        </w:rPr>
      </w:pPr>
    </w:p>
    <w:p w14:paraId="27C8062D" w14:textId="77777777" w:rsidR="00CE2445" w:rsidRPr="00CE2445" w:rsidRDefault="00CE2445" w:rsidP="00D50246">
      <w:pPr>
        <w:pStyle w:val="Prrafodelista"/>
        <w:numPr>
          <w:ilvl w:val="0"/>
          <w:numId w:val="15"/>
        </w:numPr>
        <w:spacing w:line="360" w:lineRule="auto"/>
        <w:jc w:val="both"/>
        <w:rPr>
          <w:sz w:val="20"/>
          <w:szCs w:val="20"/>
        </w:rPr>
      </w:pPr>
      <w:r w:rsidRPr="00CE2445">
        <w:rPr>
          <w:sz w:val="20"/>
          <w:szCs w:val="20"/>
        </w:rPr>
        <w:t>Mantener el nivel de endeudamiento registrado conforme al Sistema de Alertas.</w:t>
      </w:r>
    </w:p>
    <w:p w14:paraId="3FA1A7B1" w14:textId="77777777" w:rsidR="00CE2445" w:rsidRPr="00CE2445" w:rsidRDefault="00CE2445" w:rsidP="00CE2445">
      <w:pPr>
        <w:pStyle w:val="PRIMERAPLANA"/>
        <w:spacing w:line="360" w:lineRule="auto"/>
        <w:rPr>
          <w:rFonts w:ascii="Times New Roman" w:hAnsi="Times New Roman"/>
          <w:bCs/>
          <w:lang w:val="es-MX"/>
        </w:rPr>
      </w:pPr>
    </w:p>
    <w:p w14:paraId="37AB05BF" w14:textId="77777777" w:rsidR="00CE2445" w:rsidRPr="00CE2445" w:rsidRDefault="00CE2445" w:rsidP="00CE2445">
      <w:pPr>
        <w:spacing w:line="360" w:lineRule="auto"/>
        <w:jc w:val="both"/>
        <w:rPr>
          <w:sz w:val="20"/>
          <w:szCs w:val="20"/>
        </w:rPr>
      </w:pPr>
      <w:r w:rsidRPr="00CE2445">
        <w:rPr>
          <w:sz w:val="20"/>
          <w:szCs w:val="20"/>
        </w:rPr>
        <w:t>En el siguiente cuadro se presentan las perspectivas de finanzas públicas de mediano plazo para el Estado de Tlaxcala, tomando como base las proyecciones económicas previstas por la Secretaría de Hacienda y Crédito Público (SHCP), en el Documento Relativo al Cumplimiento de las Disposiciones contenidas en el artículo 42, fracción I, de la Ley Federal de Presupuesto y Responsabilidad Hacendaria (Pre-Criterios 2025) y en los Criterios Generales de Política Económica para la Iniciativa de Ley de Ingresos y el Proyecto de Presupuesto de Egresos de la Federación correspondientes al Ejercicio Fiscal 2024.</w:t>
      </w:r>
    </w:p>
    <w:p w14:paraId="52681803" w14:textId="77777777" w:rsidR="00CE2445" w:rsidRPr="00CE2445" w:rsidRDefault="00CE2445" w:rsidP="00CE2445">
      <w:pPr>
        <w:spacing w:line="360" w:lineRule="auto"/>
        <w:jc w:val="center"/>
        <w:rPr>
          <w:sz w:val="20"/>
          <w:szCs w:val="20"/>
        </w:rPr>
      </w:pPr>
      <w:r w:rsidRPr="00405240">
        <w:rPr>
          <w:noProof/>
          <w:sz w:val="20"/>
          <w:szCs w:val="20"/>
          <w:lang w:val="es-MX" w:eastAsia="es-MX"/>
        </w:rPr>
        <w:drawing>
          <wp:inline distT="0" distB="0" distL="0" distR="0" wp14:anchorId="23CEB3B4" wp14:editId="0CEA826C">
            <wp:extent cx="5179695" cy="3629025"/>
            <wp:effectExtent l="0" t="0" r="1905" b="9525"/>
            <wp:docPr id="1131823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2322" name="Imagen 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9695" cy="3629025"/>
                    </a:xfrm>
                    <a:prstGeom prst="rect">
                      <a:avLst/>
                    </a:prstGeom>
                    <a:noFill/>
                    <a:ln>
                      <a:noFill/>
                    </a:ln>
                  </pic:spPr>
                </pic:pic>
              </a:graphicData>
            </a:graphic>
          </wp:inline>
        </w:drawing>
      </w:r>
    </w:p>
    <w:p w14:paraId="7E6E04B3" w14:textId="77777777" w:rsidR="00CE2445" w:rsidRPr="00CE2445" w:rsidRDefault="00CE2445" w:rsidP="00CE2445">
      <w:pPr>
        <w:spacing w:line="360" w:lineRule="auto"/>
        <w:jc w:val="both"/>
        <w:rPr>
          <w:sz w:val="20"/>
          <w:szCs w:val="20"/>
        </w:rPr>
      </w:pPr>
    </w:p>
    <w:p w14:paraId="5DB75085" w14:textId="77777777" w:rsidR="00CE2445" w:rsidRPr="00CE2445" w:rsidRDefault="00CE2445" w:rsidP="00CE2445">
      <w:pPr>
        <w:pStyle w:val="PRIMERAPLANA"/>
        <w:spacing w:line="360" w:lineRule="auto"/>
        <w:rPr>
          <w:rFonts w:ascii="Times New Roman" w:hAnsi="Times New Roman"/>
          <w:bCs/>
          <w:lang w:val="es-MX"/>
        </w:rPr>
      </w:pPr>
      <w:r w:rsidRPr="00CE2445">
        <w:rPr>
          <w:rFonts w:ascii="Times New Roman" w:hAnsi="Times New Roman"/>
          <w:bCs/>
          <w:lang w:val="es-MX"/>
        </w:rPr>
        <w:t>Es por lo anterior que, los objetivos del Gobierno del Estado en materia de planeación, programación y presupuestación, consideran metas en ingresos prudentes y realistas teniendo el reto de aumentar la recaudación fiscal, para generar los recursos necesarios que financien el gasto público y lograr un balance presupuestario sostenible.</w:t>
      </w:r>
    </w:p>
    <w:p w14:paraId="5C98E424" w14:textId="77777777" w:rsidR="00CE2445" w:rsidRPr="00CE2445" w:rsidRDefault="00CE2445" w:rsidP="00CE2445">
      <w:pPr>
        <w:spacing w:line="360" w:lineRule="auto"/>
        <w:jc w:val="both"/>
        <w:rPr>
          <w:sz w:val="20"/>
          <w:szCs w:val="20"/>
        </w:rPr>
      </w:pPr>
    </w:p>
    <w:p w14:paraId="70753382" w14:textId="77777777" w:rsidR="00CE2445" w:rsidRPr="00CE2445" w:rsidRDefault="00CE2445" w:rsidP="00CE2445">
      <w:pPr>
        <w:spacing w:line="360" w:lineRule="auto"/>
        <w:jc w:val="both"/>
        <w:rPr>
          <w:sz w:val="20"/>
          <w:szCs w:val="20"/>
        </w:rPr>
      </w:pPr>
      <w:r w:rsidRPr="00CE2445">
        <w:rPr>
          <w:sz w:val="20"/>
          <w:szCs w:val="20"/>
        </w:rPr>
        <w:t>La evolución de las finanzas públicas del Estado obedece a la dinámica recaudatoria de los ingresos estatales totales y de las transferencias federales, las que a su vez son determinadas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altamente sensibles al comportamiento de la economía nacional y de los choques externos, tal y como se observa en la gráfica siguiente:</w:t>
      </w:r>
    </w:p>
    <w:p w14:paraId="5B45FAC9" w14:textId="77777777" w:rsidR="00CE2445" w:rsidRPr="00CE2445" w:rsidRDefault="00CE2445" w:rsidP="00CE2445">
      <w:pPr>
        <w:spacing w:line="360" w:lineRule="auto"/>
        <w:jc w:val="both"/>
        <w:rPr>
          <w:sz w:val="20"/>
          <w:szCs w:val="20"/>
        </w:rPr>
      </w:pPr>
    </w:p>
    <w:p w14:paraId="26B2D4E7" w14:textId="77777777" w:rsidR="00CE2445" w:rsidRPr="00CE2445" w:rsidRDefault="00CE2445" w:rsidP="00CE2445">
      <w:pPr>
        <w:spacing w:line="360" w:lineRule="auto"/>
        <w:jc w:val="both"/>
        <w:rPr>
          <w:sz w:val="20"/>
          <w:szCs w:val="20"/>
        </w:rPr>
      </w:pPr>
      <w:r w:rsidRPr="00CE2445">
        <w:rPr>
          <w:noProof/>
          <w:sz w:val="20"/>
          <w:szCs w:val="20"/>
          <w:lang w:val="es-MX" w:eastAsia="es-MX"/>
        </w:rPr>
        <w:drawing>
          <wp:inline distT="0" distB="0" distL="0" distR="0" wp14:anchorId="22152BDD" wp14:editId="2140836C">
            <wp:extent cx="5172075" cy="2085975"/>
            <wp:effectExtent l="0" t="0" r="9525" b="9525"/>
            <wp:docPr id="76905630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2085975"/>
                    </a:xfrm>
                    <a:prstGeom prst="rect">
                      <a:avLst/>
                    </a:prstGeom>
                    <a:noFill/>
                    <a:ln>
                      <a:noFill/>
                    </a:ln>
                  </pic:spPr>
                </pic:pic>
              </a:graphicData>
            </a:graphic>
          </wp:inline>
        </w:drawing>
      </w:r>
    </w:p>
    <w:p w14:paraId="6777B77F" w14:textId="2515A99F" w:rsidR="00E021D0" w:rsidRPr="009B0775" w:rsidRDefault="00E021D0" w:rsidP="00E021D0">
      <w:pPr>
        <w:spacing w:line="360" w:lineRule="auto"/>
        <w:ind w:left="567"/>
        <w:jc w:val="both"/>
        <w:rPr>
          <w:b/>
          <w:sz w:val="12"/>
          <w:szCs w:val="12"/>
        </w:rPr>
      </w:pPr>
      <w:r w:rsidRPr="009B0775">
        <w:rPr>
          <w:b/>
          <w:sz w:val="12"/>
          <w:szCs w:val="12"/>
        </w:rPr>
        <w:t>Fuentes: Leyes de Ingresos de la Federación para los Ejercicios Fiscales 20</w:t>
      </w:r>
      <w:r w:rsidR="00A4475A">
        <w:rPr>
          <w:b/>
          <w:sz w:val="12"/>
          <w:szCs w:val="12"/>
        </w:rPr>
        <w:t>20</w:t>
      </w:r>
      <w:r w:rsidRPr="009B0775">
        <w:rPr>
          <w:b/>
          <w:sz w:val="12"/>
          <w:szCs w:val="12"/>
        </w:rPr>
        <w:t>-202</w:t>
      </w:r>
      <w:r w:rsidR="00A4475A">
        <w:rPr>
          <w:b/>
          <w:sz w:val="12"/>
          <w:szCs w:val="12"/>
        </w:rPr>
        <w:t>5</w:t>
      </w:r>
      <w:r w:rsidRPr="009B0775">
        <w:rPr>
          <w:b/>
          <w:sz w:val="12"/>
          <w:szCs w:val="12"/>
        </w:rPr>
        <w:t xml:space="preserve">. </w:t>
      </w:r>
    </w:p>
    <w:p w14:paraId="76C77A92" w14:textId="77777777" w:rsidR="00E021D0" w:rsidRPr="009B0775" w:rsidRDefault="00E021D0" w:rsidP="00E021D0">
      <w:pPr>
        <w:spacing w:line="360" w:lineRule="auto"/>
        <w:ind w:left="567"/>
        <w:jc w:val="both"/>
        <w:rPr>
          <w:b/>
          <w:sz w:val="12"/>
          <w:szCs w:val="12"/>
        </w:rPr>
      </w:pPr>
      <w:r w:rsidRPr="009B0775">
        <w:rPr>
          <w:b/>
          <w:sz w:val="12"/>
          <w:szCs w:val="12"/>
        </w:rPr>
        <w:t>*Documento relativo al Cumplimiento de las Disposiciones Contenidas en el artículo 42, fracción I, de la Ley Federal de Presupuesto y Responsabilidad Hacendaria (Pre-Criterios 2025).</w:t>
      </w:r>
    </w:p>
    <w:p w14:paraId="036D0D12" w14:textId="77777777" w:rsidR="00CE2445" w:rsidRPr="00CE2445" w:rsidRDefault="00CE2445" w:rsidP="00CE2445">
      <w:pPr>
        <w:spacing w:line="360" w:lineRule="auto"/>
        <w:jc w:val="both"/>
        <w:rPr>
          <w:sz w:val="20"/>
          <w:szCs w:val="20"/>
        </w:rPr>
      </w:pPr>
    </w:p>
    <w:p w14:paraId="099B2BC2" w14:textId="77777777" w:rsidR="00CE2445" w:rsidRPr="00CE2445" w:rsidRDefault="00CE2445" w:rsidP="00CE2445">
      <w:pPr>
        <w:spacing w:line="360" w:lineRule="auto"/>
        <w:jc w:val="both"/>
        <w:rPr>
          <w:sz w:val="20"/>
          <w:szCs w:val="20"/>
        </w:rPr>
      </w:pPr>
      <w:r w:rsidRPr="00CE2445">
        <w:rPr>
          <w:sz w:val="20"/>
          <w:szCs w:val="20"/>
        </w:rPr>
        <w:t>El Ejecutivo del Estado ha implementado una política fiscal para la contención del gasto, limitando el crecimiento del presupuesto, el establecimiento de topes a ciertos rubros del gasto, el congelamiento de plazas vacantes no prioritarias y la aplicación del Acuerdo que establece los Lineamientos y Políticas Generales del Ejercicio del Presupuesto, las Medidas de Mejora y Modernización, así como de Austeridad del Gasto Público de la Gestión Administrativa por parte de las Dependencias y Entidades del Ejecutivo, a fin de optimizar el uso de recursos materiales y financieros en el sector público.</w:t>
      </w:r>
    </w:p>
    <w:p w14:paraId="20EA5824" w14:textId="77777777" w:rsidR="00CE2445" w:rsidRPr="00CE2445" w:rsidRDefault="00CE2445" w:rsidP="00CE2445">
      <w:pPr>
        <w:spacing w:line="360" w:lineRule="auto"/>
        <w:jc w:val="both"/>
        <w:rPr>
          <w:sz w:val="20"/>
          <w:szCs w:val="20"/>
        </w:rPr>
      </w:pPr>
    </w:p>
    <w:p w14:paraId="59442C6D" w14:textId="77777777" w:rsidR="00CE2445" w:rsidRPr="00CE2445" w:rsidRDefault="00CE2445" w:rsidP="00CE2445">
      <w:pPr>
        <w:spacing w:line="360" w:lineRule="auto"/>
        <w:jc w:val="both"/>
        <w:rPr>
          <w:sz w:val="20"/>
          <w:szCs w:val="20"/>
        </w:rPr>
      </w:pPr>
      <w:r w:rsidRPr="00CE2445">
        <w:rPr>
          <w:sz w:val="20"/>
          <w:szCs w:val="20"/>
        </w:rPr>
        <w:t>A continuación, se presentan los resultados obtenidos en la recaudación de contribuciones locales, así como de recursos federales etiquetados y de libre disposición en los últimos cinco años y el pronóstico de cierre 2024.</w:t>
      </w:r>
    </w:p>
    <w:p w14:paraId="27693926" w14:textId="77777777" w:rsidR="00CE2445" w:rsidRPr="00CE2445" w:rsidRDefault="00CE2445" w:rsidP="00CE2445">
      <w:pPr>
        <w:spacing w:line="360" w:lineRule="auto"/>
        <w:jc w:val="both"/>
        <w:rPr>
          <w:sz w:val="20"/>
          <w:szCs w:val="20"/>
        </w:rPr>
      </w:pPr>
    </w:p>
    <w:p w14:paraId="0AC241B2" w14:textId="77777777" w:rsidR="00CE2445" w:rsidRPr="00CE2445" w:rsidRDefault="00CE2445" w:rsidP="00CE2445">
      <w:pPr>
        <w:spacing w:line="360" w:lineRule="auto"/>
        <w:jc w:val="center"/>
        <w:rPr>
          <w:sz w:val="20"/>
          <w:szCs w:val="20"/>
        </w:rPr>
      </w:pPr>
      <w:r w:rsidRPr="00405240">
        <w:rPr>
          <w:noProof/>
          <w:sz w:val="20"/>
          <w:szCs w:val="20"/>
          <w:lang w:val="es-MX" w:eastAsia="es-MX"/>
        </w:rPr>
        <w:drawing>
          <wp:inline distT="0" distB="0" distL="0" distR="0" wp14:anchorId="42FE7A4F" wp14:editId="37A70BC1">
            <wp:extent cx="5179695" cy="4509770"/>
            <wp:effectExtent l="0" t="0" r="1905" b="5080"/>
            <wp:docPr id="20795841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84119" name="Imagen 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9695" cy="4509770"/>
                    </a:xfrm>
                    <a:prstGeom prst="rect">
                      <a:avLst/>
                    </a:prstGeom>
                    <a:noFill/>
                    <a:ln>
                      <a:noFill/>
                    </a:ln>
                  </pic:spPr>
                </pic:pic>
              </a:graphicData>
            </a:graphic>
          </wp:inline>
        </w:drawing>
      </w:r>
    </w:p>
    <w:p w14:paraId="595F09CD" w14:textId="77777777" w:rsidR="00CE2445" w:rsidRPr="00CE2445" w:rsidRDefault="00CE2445" w:rsidP="00CE2445">
      <w:pPr>
        <w:spacing w:line="360" w:lineRule="auto"/>
        <w:jc w:val="both"/>
        <w:rPr>
          <w:sz w:val="20"/>
          <w:szCs w:val="20"/>
        </w:rPr>
      </w:pPr>
    </w:p>
    <w:p w14:paraId="2E07E9E5" w14:textId="77777777" w:rsidR="00CE2445" w:rsidRPr="00CE2445" w:rsidRDefault="00CE2445" w:rsidP="00CE2445">
      <w:pPr>
        <w:spacing w:line="360" w:lineRule="auto"/>
        <w:jc w:val="both"/>
        <w:rPr>
          <w:sz w:val="20"/>
          <w:szCs w:val="20"/>
        </w:rPr>
      </w:pPr>
      <w:r w:rsidRPr="00CE2445">
        <w:rPr>
          <w:sz w:val="20"/>
          <w:szCs w:val="20"/>
        </w:rPr>
        <w:t>De acuerdo al último estudio actuarial de las pensiones del Estado de Tlaxcala</w:t>
      </w:r>
      <w:r w:rsidRPr="00CE2445">
        <w:rPr>
          <w:b/>
          <w:sz w:val="20"/>
          <w:szCs w:val="20"/>
          <w:vertAlign w:val="superscript"/>
        </w:rPr>
        <w:footnoteReference w:id="1"/>
      </w:r>
      <w:r w:rsidRPr="00CE2445">
        <w:rPr>
          <w:sz w:val="20"/>
          <w:szCs w:val="20"/>
        </w:rPr>
        <w:t>, correspondiente al ejercicio fiscal 2024 y con una vigencia al ejercicio 2028 se tiene una reserva actuarial de 422.23 MDP, con una población afiliada activa de 9,149 trabajadores y 2,352 pensionados, como a continuación se presenta:</w:t>
      </w:r>
    </w:p>
    <w:p w14:paraId="4581AD20" w14:textId="77777777" w:rsidR="00E021D0" w:rsidRDefault="00E021D0" w:rsidP="00CE2445">
      <w:pPr>
        <w:spacing w:line="360" w:lineRule="auto"/>
        <w:jc w:val="center"/>
        <w:rPr>
          <w:b/>
          <w:sz w:val="20"/>
          <w:szCs w:val="20"/>
        </w:rPr>
      </w:pPr>
    </w:p>
    <w:p w14:paraId="00A4C9AA" w14:textId="31813958" w:rsidR="00CE2445" w:rsidRPr="00CE2445" w:rsidRDefault="00CE2445" w:rsidP="00CE2445">
      <w:pPr>
        <w:spacing w:line="360" w:lineRule="auto"/>
        <w:jc w:val="center"/>
        <w:rPr>
          <w:b/>
          <w:sz w:val="20"/>
          <w:szCs w:val="20"/>
        </w:rPr>
      </w:pPr>
      <w:r w:rsidRPr="00CE2445">
        <w:rPr>
          <w:b/>
          <w:sz w:val="20"/>
          <w:szCs w:val="20"/>
        </w:rPr>
        <w:lastRenderedPageBreak/>
        <w:t>Estudio Actuarial de Pensiones</w:t>
      </w:r>
    </w:p>
    <w:p w14:paraId="4CD93F92" w14:textId="77777777" w:rsidR="00CE2445" w:rsidRPr="00CE2445" w:rsidRDefault="00CE2445" w:rsidP="00CE2445">
      <w:pPr>
        <w:spacing w:line="360" w:lineRule="auto"/>
        <w:jc w:val="center"/>
        <w:rPr>
          <w:b/>
          <w:sz w:val="20"/>
          <w:szCs w:val="20"/>
        </w:rPr>
      </w:pPr>
      <w:r w:rsidRPr="00CE2445">
        <w:rPr>
          <w:noProof/>
          <w:sz w:val="20"/>
          <w:szCs w:val="20"/>
          <w:lang w:val="es-MX" w:eastAsia="es-MX"/>
        </w:rPr>
        <w:drawing>
          <wp:inline distT="0" distB="0" distL="0" distR="0" wp14:anchorId="1E7AC9E6" wp14:editId="67A04DC6">
            <wp:extent cx="5065713" cy="3564127"/>
            <wp:effectExtent l="0" t="0" r="1905" b="0"/>
            <wp:docPr id="12372041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04185" name=""/>
                    <pic:cNvPicPr/>
                  </pic:nvPicPr>
                  <pic:blipFill rotWithShape="1">
                    <a:blip r:embed="rId23"/>
                    <a:srcRect l="26393" t="32857" r="32684" b="15952"/>
                    <a:stretch/>
                  </pic:blipFill>
                  <pic:spPr bwMode="auto">
                    <a:xfrm>
                      <a:off x="0" y="0"/>
                      <a:ext cx="5137080" cy="3614339"/>
                    </a:xfrm>
                    <a:prstGeom prst="rect">
                      <a:avLst/>
                    </a:prstGeom>
                    <a:ln>
                      <a:noFill/>
                    </a:ln>
                    <a:extLst>
                      <a:ext uri="{53640926-AAD7-44D8-BBD7-CCE9431645EC}">
                        <a14:shadowObscured xmlns:a14="http://schemas.microsoft.com/office/drawing/2010/main"/>
                      </a:ext>
                    </a:extLst>
                  </pic:spPr>
                </pic:pic>
              </a:graphicData>
            </a:graphic>
          </wp:inline>
        </w:drawing>
      </w:r>
    </w:p>
    <w:p w14:paraId="4568A273" w14:textId="77777777" w:rsidR="00CE2445" w:rsidRPr="00CE2445" w:rsidRDefault="00CE2445" w:rsidP="00CE2445">
      <w:pPr>
        <w:spacing w:line="360" w:lineRule="auto"/>
        <w:jc w:val="both"/>
        <w:rPr>
          <w:sz w:val="20"/>
          <w:szCs w:val="20"/>
        </w:rPr>
      </w:pPr>
    </w:p>
    <w:p w14:paraId="5A2CF5FC" w14:textId="77777777" w:rsidR="00CE2445" w:rsidRPr="00CE2445" w:rsidRDefault="00CE2445" w:rsidP="00CE2445">
      <w:pPr>
        <w:spacing w:line="360" w:lineRule="auto"/>
        <w:jc w:val="both"/>
        <w:rPr>
          <w:sz w:val="20"/>
          <w:szCs w:val="20"/>
        </w:rPr>
      </w:pPr>
      <w:r w:rsidRPr="00CE2445">
        <w:rPr>
          <w:noProof/>
          <w:sz w:val="20"/>
          <w:szCs w:val="20"/>
          <w:lang w:val="es-MX" w:eastAsia="es-MX"/>
        </w:rPr>
        <w:drawing>
          <wp:inline distT="0" distB="0" distL="0" distR="0" wp14:anchorId="0BD4A13D" wp14:editId="773A61BF">
            <wp:extent cx="5167630" cy="2733675"/>
            <wp:effectExtent l="0" t="0" r="0" b="9525"/>
            <wp:docPr id="1791664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64259" name=""/>
                    <pic:cNvPicPr/>
                  </pic:nvPicPr>
                  <pic:blipFill rotWithShape="1">
                    <a:blip r:embed="rId24"/>
                    <a:srcRect l="27583" t="31385" r="25616" b="23824"/>
                    <a:stretch/>
                  </pic:blipFill>
                  <pic:spPr bwMode="auto">
                    <a:xfrm>
                      <a:off x="0" y="0"/>
                      <a:ext cx="5191951" cy="2746541"/>
                    </a:xfrm>
                    <a:prstGeom prst="rect">
                      <a:avLst/>
                    </a:prstGeom>
                    <a:ln>
                      <a:noFill/>
                    </a:ln>
                    <a:extLst>
                      <a:ext uri="{53640926-AAD7-44D8-BBD7-CCE9431645EC}">
                        <a14:shadowObscured xmlns:a14="http://schemas.microsoft.com/office/drawing/2010/main"/>
                      </a:ext>
                    </a:extLst>
                  </pic:spPr>
                </pic:pic>
              </a:graphicData>
            </a:graphic>
          </wp:inline>
        </w:drawing>
      </w:r>
    </w:p>
    <w:p w14:paraId="09E5A715" w14:textId="77777777" w:rsidR="00CE2445" w:rsidRPr="00CE2445" w:rsidRDefault="00CE2445" w:rsidP="00CE2445">
      <w:pPr>
        <w:spacing w:line="360" w:lineRule="auto"/>
        <w:jc w:val="both"/>
        <w:rPr>
          <w:sz w:val="20"/>
          <w:szCs w:val="20"/>
        </w:rPr>
      </w:pPr>
    </w:p>
    <w:p w14:paraId="4A477EA2" w14:textId="77777777" w:rsidR="00CE2445" w:rsidRPr="00CE2445" w:rsidRDefault="00CE2445" w:rsidP="00CE2445">
      <w:pPr>
        <w:spacing w:line="360" w:lineRule="auto"/>
        <w:jc w:val="both"/>
        <w:rPr>
          <w:sz w:val="20"/>
          <w:szCs w:val="20"/>
        </w:rPr>
      </w:pPr>
      <w:r w:rsidRPr="00CE2445">
        <w:rPr>
          <w:noProof/>
          <w:sz w:val="20"/>
          <w:szCs w:val="20"/>
          <w:lang w:val="es-MX" w:eastAsia="es-MX"/>
        </w:rPr>
        <w:lastRenderedPageBreak/>
        <w:drawing>
          <wp:inline distT="0" distB="0" distL="0" distR="0" wp14:anchorId="15C4CC42" wp14:editId="39DCBACC">
            <wp:extent cx="5163478" cy="2156604"/>
            <wp:effectExtent l="0" t="0" r="0" b="0"/>
            <wp:docPr id="9542857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85723" name=""/>
                    <pic:cNvPicPr/>
                  </pic:nvPicPr>
                  <pic:blipFill rotWithShape="1">
                    <a:blip r:embed="rId25"/>
                    <a:srcRect l="14326" t="31386" r="19367" b="26865"/>
                    <a:stretch/>
                  </pic:blipFill>
                  <pic:spPr bwMode="auto">
                    <a:xfrm>
                      <a:off x="0" y="0"/>
                      <a:ext cx="5193978" cy="2169343"/>
                    </a:xfrm>
                    <a:prstGeom prst="rect">
                      <a:avLst/>
                    </a:prstGeom>
                    <a:ln>
                      <a:noFill/>
                    </a:ln>
                    <a:extLst>
                      <a:ext uri="{53640926-AAD7-44D8-BBD7-CCE9431645EC}">
                        <a14:shadowObscured xmlns:a14="http://schemas.microsoft.com/office/drawing/2010/main"/>
                      </a:ext>
                    </a:extLst>
                  </pic:spPr>
                </pic:pic>
              </a:graphicData>
            </a:graphic>
          </wp:inline>
        </w:drawing>
      </w:r>
    </w:p>
    <w:p w14:paraId="33D1FAEC" w14:textId="77777777" w:rsidR="00CE2445" w:rsidRPr="00CE2445" w:rsidRDefault="00CE2445" w:rsidP="00CE2445">
      <w:pPr>
        <w:spacing w:line="360" w:lineRule="auto"/>
        <w:jc w:val="both"/>
        <w:rPr>
          <w:sz w:val="20"/>
          <w:szCs w:val="20"/>
        </w:rPr>
      </w:pPr>
    </w:p>
    <w:p w14:paraId="1994030F" w14:textId="77777777" w:rsidR="00CE2445" w:rsidRPr="00CE2445" w:rsidRDefault="00CE2445" w:rsidP="00CE2445">
      <w:pPr>
        <w:spacing w:line="360" w:lineRule="auto"/>
        <w:jc w:val="both"/>
        <w:rPr>
          <w:sz w:val="20"/>
          <w:szCs w:val="20"/>
        </w:rPr>
      </w:pPr>
      <w:r w:rsidRPr="00CE2445">
        <w:rPr>
          <w:noProof/>
          <w:sz w:val="20"/>
          <w:szCs w:val="20"/>
          <w:lang w:val="es-MX" w:eastAsia="es-MX"/>
        </w:rPr>
        <w:drawing>
          <wp:inline distT="0" distB="0" distL="0" distR="0" wp14:anchorId="63F6EE23" wp14:editId="131AA03D">
            <wp:extent cx="5185786" cy="1751163"/>
            <wp:effectExtent l="0" t="0" r="0" b="1905"/>
            <wp:docPr id="370990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90796" name=""/>
                    <pic:cNvPicPr/>
                  </pic:nvPicPr>
                  <pic:blipFill rotWithShape="1">
                    <a:blip r:embed="rId26"/>
                    <a:srcRect l="14330" t="45895" r="36345" b="24491"/>
                    <a:stretch/>
                  </pic:blipFill>
                  <pic:spPr bwMode="auto">
                    <a:xfrm>
                      <a:off x="0" y="0"/>
                      <a:ext cx="5224803" cy="1764339"/>
                    </a:xfrm>
                    <a:prstGeom prst="rect">
                      <a:avLst/>
                    </a:prstGeom>
                    <a:ln>
                      <a:noFill/>
                    </a:ln>
                    <a:extLst>
                      <a:ext uri="{53640926-AAD7-44D8-BBD7-CCE9431645EC}">
                        <a14:shadowObscured xmlns:a14="http://schemas.microsoft.com/office/drawing/2010/main"/>
                      </a:ext>
                    </a:extLst>
                  </pic:spPr>
                </pic:pic>
              </a:graphicData>
            </a:graphic>
          </wp:inline>
        </w:drawing>
      </w:r>
    </w:p>
    <w:p w14:paraId="5E460953" w14:textId="77777777" w:rsidR="00CE2445" w:rsidRPr="00CE2445" w:rsidRDefault="00CE2445" w:rsidP="00CE2445">
      <w:pPr>
        <w:spacing w:line="360" w:lineRule="auto"/>
        <w:jc w:val="both"/>
        <w:rPr>
          <w:sz w:val="20"/>
          <w:szCs w:val="20"/>
        </w:rPr>
      </w:pPr>
    </w:p>
    <w:p w14:paraId="3FE09BCE" w14:textId="77777777" w:rsidR="00CE2445" w:rsidRPr="00CE2445" w:rsidRDefault="00CE2445" w:rsidP="00CE2445">
      <w:pPr>
        <w:spacing w:line="360" w:lineRule="auto"/>
        <w:jc w:val="both"/>
        <w:rPr>
          <w:sz w:val="20"/>
          <w:szCs w:val="20"/>
        </w:rPr>
      </w:pPr>
      <w:r w:rsidRPr="00CE2445">
        <w:rPr>
          <w:sz w:val="20"/>
          <w:szCs w:val="20"/>
        </w:rPr>
        <w:t>Con la finalidad de coadyuvar en el saneamiento de las Pensiones Civiles del Estado de Tlaxcala, el Ejecutivo del Estado ha otorgado del ejercicio 2017 a la fecha aportaciones extraordinarias a Pensiones Civiles del Estado por un importe de 418.8 MDP al cierre del mes de septiembre de 2024, considerándose a su vez, dentro de la presente Iniciativa una aportación extraordinaria por hasta 30 MDP.</w:t>
      </w:r>
    </w:p>
    <w:p w14:paraId="26C601D5" w14:textId="77777777" w:rsidR="00CE2445" w:rsidRPr="00CE2445" w:rsidRDefault="00CE2445" w:rsidP="00CE2445">
      <w:pPr>
        <w:spacing w:line="360" w:lineRule="auto"/>
        <w:jc w:val="both"/>
        <w:rPr>
          <w:sz w:val="20"/>
          <w:szCs w:val="20"/>
        </w:rPr>
      </w:pPr>
    </w:p>
    <w:tbl>
      <w:tblPr>
        <w:tblW w:w="3640" w:type="dxa"/>
        <w:jc w:val="center"/>
        <w:tblCellMar>
          <w:left w:w="70" w:type="dxa"/>
          <w:right w:w="70" w:type="dxa"/>
        </w:tblCellMar>
        <w:tblLook w:val="04A0" w:firstRow="1" w:lastRow="0" w:firstColumn="1" w:lastColumn="0" w:noHBand="0" w:noVBand="1"/>
      </w:tblPr>
      <w:tblGrid>
        <w:gridCol w:w="1560"/>
        <w:gridCol w:w="2080"/>
      </w:tblGrid>
      <w:tr w:rsidR="00CE2445" w:rsidRPr="00CE2445" w14:paraId="3C611A2A" w14:textId="77777777" w:rsidTr="00A0160F">
        <w:trPr>
          <w:trHeight w:val="701"/>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541139C"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AÑO</w:t>
            </w:r>
          </w:p>
        </w:tc>
        <w:tc>
          <w:tcPr>
            <w:tcW w:w="208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C9A093B"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APOYO ESTATAL EXTRAORDINARIO (MDP)</w:t>
            </w:r>
          </w:p>
        </w:tc>
      </w:tr>
      <w:tr w:rsidR="00CE2445" w:rsidRPr="00CE2445" w14:paraId="1081A007" w14:textId="77777777" w:rsidTr="00435411">
        <w:trPr>
          <w:trHeight w:val="209"/>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4358F4D"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2017</w:t>
            </w:r>
          </w:p>
        </w:tc>
        <w:tc>
          <w:tcPr>
            <w:tcW w:w="2080" w:type="dxa"/>
            <w:tcBorders>
              <w:top w:val="nil"/>
              <w:left w:val="nil"/>
              <w:bottom w:val="single" w:sz="4" w:space="0" w:color="auto"/>
              <w:right w:val="single" w:sz="4" w:space="0" w:color="auto"/>
            </w:tcBorders>
            <w:shd w:val="clear" w:color="auto" w:fill="auto"/>
            <w:noWrap/>
            <w:vAlign w:val="center"/>
          </w:tcPr>
          <w:p w14:paraId="45C77934" w14:textId="77777777" w:rsidR="00CE2445" w:rsidRPr="00CE2445" w:rsidRDefault="00CE2445" w:rsidP="00435411">
            <w:pPr>
              <w:spacing w:line="360" w:lineRule="auto"/>
              <w:jc w:val="right"/>
              <w:rPr>
                <w:bCs/>
                <w:color w:val="000000"/>
                <w:sz w:val="20"/>
                <w:szCs w:val="20"/>
                <w:highlight w:val="yellow"/>
                <w:lang w:eastAsia="es-MX"/>
              </w:rPr>
            </w:pPr>
            <w:r w:rsidRPr="00CE2445">
              <w:rPr>
                <w:bCs/>
                <w:color w:val="000000"/>
                <w:sz w:val="20"/>
                <w:szCs w:val="20"/>
                <w:lang w:eastAsia="es-MX"/>
              </w:rPr>
              <w:t>26.6</w:t>
            </w:r>
          </w:p>
        </w:tc>
      </w:tr>
      <w:tr w:rsidR="00CE2445" w:rsidRPr="00CE2445" w14:paraId="76FAA548" w14:textId="77777777" w:rsidTr="00435411">
        <w:trPr>
          <w:trHeight w:val="257"/>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7E4E1BE"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2018</w:t>
            </w:r>
          </w:p>
        </w:tc>
        <w:tc>
          <w:tcPr>
            <w:tcW w:w="2080" w:type="dxa"/>
            <w:tcBorders>
              <w:top w:val="nil"/>
              <w:left w:val="nil"/>
              <w:bottom w:val="single" w:sz="4" w:space="0" w:color="auto"/>
              <w:right w:val="single" w:sz="4" w:space="0" w:color="auto"/>
            </w:tcBorders>
            <w:shd w:val="clear" w:color="auto" w:fill="auto"/>
            <w:noWrap/>
            <w:vAlign w:val="center"/>
          </w:tcPr>
          <w:p w14:paraId="02B50E85" w14:textId="77777777" w:rsidR="00CE2445" w:rsidRPr="00CE2445" w:rsidRDefault="00CE2445" w:rsidP="00435411">
            <w:pPr>
              <w:spacing w:line="360" w:lineRule="auto"/>
              <w:jc w:val="right"/>
              <w:rPr>
                <w:bCs/>
                <w:color w:val="000000"/>
                <w:sz w:val="20"/>
                <w:szCs w:val="20"/>
                <w:lang w:eastAsia="es-MX"/>
              </w:rPr>
            </w:pPr>
            <w:r w:rsidRPr="00CE2445">
              <w:rPr>
                <w:bCs/>
                <w:color w:val="000000"/>
                <w:sz w:val="20"/>
                <w:szCs w:val="20"/>
                <w:lang w:eastAsia="es-MX"/>
              </w:rPr>
              <w:t>31.0</w:t>
            </w:r>
          </w:p>
        </w:tc>
      </w:tr>
      <w:tr w:rsidR="00CE2445" w:rsidRPr="00CE2445" w14:paraId="5DCB80C7" w14:textId="77777777" w:rsidTr="00435411">
        <w:trPr>
          <w:trHeight w:val="278"/>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08A3B85E"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2019</w:t>
            </w:r>
          </w:p>
        </w:tc>
        <w:tc>
          <w:tcPr>
            <w:tcW w:w="2080" w:type="dxa"/>
            <w:tcBorders>
              <w:top w:val="nil"/>
              <w:left w:val="nil"/>
              <w:bottom w:val="single" w:sz="4" w:space="0" w:color="auto"/>
              <w:right w:val="single" w:sz="4" w:space="0" w:color="auto"/>
            </w:tcBorders>
            <w:shd w:val="clear" w:color="auto" w:fill="auto"/>
            <w:noWrap/>
            <w:vAlign w:val="center"/>
          </w:tcPr>
          <w:p w14:paraId="0BE4A646" w14:textId="77777777" w:rsidR="00CE2445" w:rsidRPr="00CE2445" w:rsidRDefault="00CE2445" w:rsidP="00435411">
            <w:pPr>
              <w:spacing w:line="360" w:lineRule="auto"/>
              <w:jc w:val="right"/>
              <w:rPr>
                <w:bCs/>
                <w:color w:val="000000"/>
                <w:sz w:val="20"/>
                <w:szCs w:val="20"/>
                <w:lang w:eastAsia="es-MX"/>
              </w:rPr>
            </w:pPr>
            <w:r w:rsidRPr="00CE2445">
              <w:rPr>
                <w:bCs/>
                <w:color w:val="000000"/>
                <w:sz w:val="20"/>
                <w:szCs w:val="20"/>
                <w:lang w:eastAsia="es-MX"/>
              </w:rPr>
              <w:t>55.0</w:t>
            </w:r>
          </w:p>
        </w:tc>
      </w:tr>
      <w:tr w:rsidR="00CE2445" w:rsidRPr="00CE2445" w14:paraId="71F7CB33" w14:textId="77777777" w:rsidTr="00435411">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31838B8"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2020</w:t>
            </w:r>
          </w:p>
        </w:tc>
        <w:tc>
          <w:tcPr>
            <w:tcW w:w="2080" w:type="dxa"/>
            <w:tcBorders>
              <w:top w:val="nil"/>
              <w:left w:val="nil"/>
              <w:bottom w:val="single" w:sz="4" w:space="0" w:color="auto"/>
              <w:right w:val="single" w:sz="4" w:space="0" w:color="auto"/>
            </w:tcBorders>
            <w:shd w:val="clear" w:color="auto" w:fill="auto"/>
            <w:noWrap/>
            <w:vAlign w:val="center"/>
          </w:tcPr>
          <w:p w14:paraId="3344D04C" w14:textId="77777777" w:rsidR="00CE2445" w:rsidRPr="00CE2445" w:rsidRDefault="00CE2445" w:rsidP="00435411">
            <w:pPr>
              <w:spacing w:line="360" w:lineRule="auto"/>
              <w:jc w:val="right"/>
              <w:rPr>
                <w:bCs/>
                <w:color w:val="000000"/>
                <w:sz w:val="20"/>
                <w:szCs w:val="20"/>
                <w:lang w:eastAsia="es-MX"/>
              </w:rPr>
            </w:pPr>
            <w:r w:rsidRPr="00CE2445">
              <w:rPr>
                <w:bCs/>
                <w:color w:val="000000"/>
                <w:sz w:val="20"/>
                <w:szCs w:val="20"/>
                <w:lang w:eastAsia="es-MX"/>
              </w:rPr>
              <w:t>80.5</w:t>
            </w:r>
          </w:p>
        </w:tc>
      </w:tr>
      <w:tr w:rsidR="00CE2445" w:rsidRPr="00CE2445" w14:paraId="7F5DB0C2" w14:textId="77777777" w:rsidTr="00435411">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A3B4A54"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lastRenderedPageBreak/>
              <w:t>Ejercicio 2021</w:t>
            </w:r>
          </w:p>
        </w:tc>
        <w:tc>
          <w:tcPr>
            <w:tcW w:w="2080" w:type="dxa"/>
            <w:tcBorders>
              <w:top w:val="nil"/>
              <w:left w:val="nil"/>
              <w:bottom w:val="single" w:sz="4" w:space="0" w:color="auto"/>
              <w:right w:val="single" w:sz="4" w:space="0" w:color="auto"/>
            </w:tcBorders>
            <w:shd w:val="clear" w:color="auto" w:fill="auto"/>
            <w:noWrap/>
            <w:vAlign w:val="center"/>
          </w:tcPr>
          <w:p w14:paraId="5F9F5A72" w14:textId="77777777" w:rsidR="00CE2445" w:rsidRPr="00CE2445" w:rsidRDefault="00CE2445" w:rsidP="00435411">
            <w:pPr>
              <w:spacing w:line="360" w:lineRule="auto"/>
              <w:jc w:val="right"/>
              <w:rPr>
                <w:bCs/>
                <w:color w:val="000000"/>
                <w:sz w:val="20"/>
                <w:szCs w:val="20"/>
                <w:lang w:eastAsia="es-MX"/>
              </w:rPr>
            </w:pPr>
            <w:r w:rsidRPr="00CE2445">
              <w:rPr>
                <w:bCs/>
                <w:color w:val="000000"/>
                <w:sz w:val="20"/>
                <w:szCs w:val="20"/>
                <w:lang w:eastAsia="es-MX"/>
              </w:rPr>
              <w:t>49.6</w:t>
            </w:r>
          </w:p>
        </w:tc>
      </w:tr>
      <w:tr w:rsidR="00CE2445" w:rsidRPr="00CE2445" w14:paraId="1846E3B7" w14:textId="77777777" w:rsidTr="00435411">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8531184"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2022</w:t>
            </w:r>
          </w:p>
        </w:tc>
        <w:tc>
          <w:tcPr>
            <w:tcW w:w="2080" w:type="dxa"/>
            <w:tcBorders>
              <w:top w:val="nil"/>
              <w:left w:val="nil"/>
              <w:bottom w:val="single" w:sz="4" w:space="0" w:color="auto"/>
              <w:right w:val="single" w:sz="4" w:space="0" w:color="auto"/>
            </w:tcBorders>
            <w:shd w:val="clear" w:color="auto" w:fill="auto"/>
            <w:noWrap/>
            <w:vAlign w:val="center"/>
          </w:tcPr>
          <w:p w14:paraId="35D3C55A" w14:textId="77777777" w:rsidR="00CE2445" w:rsidRPr="00CE2445" w:rsidRDefault="00CE2445" w:rsidP="00435411">
            <w:pPr>
              <w:spacing w:line="360" w:lineRule="auto"/>
              <w:jc w:val="right"/>
              <w:rPr>
                <w:color w:val="000000"/>
                <w:sz w:val="20"/>
                <w:szCs w:val="20"/>
                <w:lang w:eastAsia="es-MX"/>
              </w:rPr>
            </w:pPr>
            <w:r w:rsidRPr="00CE2445">
              <w:rPr>
                <w:color w:val="000000"/>
                <w:sz w:val="20"/>
                <w:szCs w:val="20"/>
                <w:lang w:eastAsia="es-MX"/>
              </w:rPr>
              <w:t>77.6</w:t>
            </w:r>
          </w:p>
        </w:tc>
      </w:tr>
      <w:tr w:rsidR="00CE2445" w:rsidRPr="00CE2445" w14:paraId="4E29CF16" w14:textId="77777777" w:rsidTr="00435411">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29AAB09"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2023</w:t>
            </w:r>
          </w:p>
        </w:tc>
        <w:tc>
          <w:tcPr>
            <w:tcW w:w="2080" w:type="dxa"/>
            <w:tcBorders>
              <w:top w:val="nil"/>
              <w:left w:val="nil"/>
              <w:bottom w:val="single" w:sz="4" w:space="0" w:color="auto"/>
              <w:right w:val="single" w:sz="4" w:space="0" w:color="auto"/>
            </w:tcBorders>
            <w:shd w:val="clear" w:color="auto" w:fill="auto"/>
            <w:noWrap/>
            <w:vAlign w:val="center"/>
          </w:tcPr>
          <w:p w14:paraId="32A06404" w14:textId="77777777" w:rsidR="00CE2445" w:rsidRPr="00CE2445" w:rsidRDefault="00CE2445" w:rsidP="00435411">
            <w:pPr>
              <w:spacing w:line="360" w:lineRule="auto"/>
              <w:jc w:val="right"/>
              <w:rPr>
                <w:color w:val="000000"/>
                <w:sz w:val="20"/>
                <w:szCs w:val="20"/>
                <w:lang w:eastAsia="es-MX"/>
              </w:rPr>
            </w:pPr>
            <w:r w:rsidRPr="00CE2445">
              <w:rPr>
                <w:color w:val="000000"/>
                <w:sz w:val="20"/>
                <w:szCs w:val="20"/>
                <w:lang w:eastAsia="es-MX"/>
              </w:rPr>
              <w:t>60.0</w:t>
            </w:r>
          </w:p>
        </w:tc>
      </w:tr>
      <w:tr w:rsidR="00CE2445" w:rsidRPr="00CE2445" w14:paraId="1E824D28" w14:textId="77777777" w:rsidTr="00435411">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4FA4C78"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2024</w:t>
            </w:r>
          </w:p>
        </w:tc>
        <w:tc>
          <w:tcPr>
            <w:tcW w:w="2080" w:type="dxa"/>
            <w:tcBorders>
              <w:top w:val="nil"/>
              <w:left w:val="nil"/>
              <w:bottom w:val="single" w:sz="4" w:space="0" w:color="auto"/>
              <w:right w:val="single" w:sz="4" w:space="0" w:color="auto"/>
            </w:tcBorders>
            <w:shd w:val="clear" w:color="auto" w:fill="auto"/>
            <w:noWrap/>
            <w:vAlign w:val="center"/>
          </w:tcPr>
          <w:p w14:paraId="01546A65" w14:textId="77777777" w:rsidR="00CE2445" w:rsidRPr="00CE2445" w:rsidRDefault="00CE2445" w:rsidP="00435411">
            <w:pPr>
              <w:spacing w:line="360" w:lineRule="auto"/>
              <w:jc w:val="right"/>
              <w:rPr>
                <w:b/>
                <w:bCs/>
                <w:color w:val="000000"/>
                <w:sz w:val="20"/>
                <w:szCs w:val="20"/>
                <w:lang w:eastAsia="es-MX"/>
              </w:rPr>
            </w:pPr>
            <w:r w:rsidRPr="00CE2445">
              <w:rPr>
                <w:b/>
                <w:bCs/>
                <w:color w:val="000000"/>
                <w:sz w:val="20"/>
                <w:szCs w:val="20"/>
                <w:lang w:eastAsia="es-MX"/>
              </w:rPr>
              <w:t>38.5</w:t>
            </w:r>
          </w:p>
        </w:tc>
      </w:tr>
      <w:tr w:rsidR="00CE2445" w:rsidRPr="00CE2445" w14:paraId="0FF2BAC9" w14:textId="77777777" w:rsidTr="00435411">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7D6AE4F"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14:paraId="51E9C335" w14:textId="77777777" w:rsidR="00CE2445" w:rsidRPr="00CE2445" w:rsidRDefault="00CE2445" w:rsidP="00435411">
            <w:pPr>
              <w:spacing w:line="360" w:lineRule="auto"/>
              <w:jc w:val="right"/>
              <w:rPr>
                <w:b/>
                <w:bCs/>
                <w:color w:val="000000"/>
                <w:sz w:val="20"/>
                <w:szCs w:val="20"/>
                <w:lang w:eastAsia="es-MX"/>
              </w:rPr>
            </w:pPr>
            <w:r w:rsidRPr="00CE2445">
              <w:rPr>
                <w:b/>
                <w:bCs/>
                <w:color w:val="000000"/>
                <w:sz w:val="20"/>
                <w:szCs w:val="20"/>
                <w:lang w:eastAsia="es-MX"/>
              </w:rPr>
              <w:t>418.8</w:t>
            </w:r>
          </w:p>
        </w:tc>
      </w:tr>
    </w:tbl>
    <w:p w14:paraId="6DF469D0" w14:textId="77777777" w:rsidR="00CE2445" w:rsidRPr="00E021D0" w:rsidRDefault="00CE2445" w:rsidP="00CE2445">
      <w:pPr>
        <w:spacing w:line="360" w:lineRule="auto"/>
        <w:ind w:left="1843"/>
        <w:jc w:val="both"/>
        <w:rPr>
          <w:b/>
          <w:sz w:val="16"/>
          <w:lang w:val="es-MX"/>
        </w:rPr>
      </w:pPr>
      <w:r w:rsidRPr="00E021D0">
        <w:rPr>
          <w:b/>
          <w:sz w:val="16"/>
          <w:lang w:val="es-MX"/>
        </w:rPr>
        <w:t>* Cifra Estimada al Cierre del mes de septiembre de 2024</w:t>
      </w:r>
    </w:p>
    <w:p w14:paraId="548C44A0" w14:textId="77777777" w:rsidR="00CE2445" w:rsidRPr="00CE2445" w:rsidRDefault="00CE2445" w:rsidP="00CE2445">
      <w:pPr>
        <w:spacing w:line="360" w:lineRule="auto"/>
        <w:ind w:left="1843"/>
        <w:jc w:val="both"/>
        <w:rPr>
          <w:b/>
          <w:sz w:val="20"/>
          <w:szCs w:val="20"/>
        </w:rPr>
      </w:pPr>
    </w:p>
    <w:p w14:paraId="243195E7" w14:textId="77777777" w:rsidR="00CE2445" w:rsidRPr="00CE2445" w:rsidRDefault="00CE2445" w:rsidP="00CE2445">
      <w:pPr>
        <w:spacing w:line="360" w:lineRule="auto"/>
        <w:jc w:val="both"/>
        <w:rPr>
          <w:sz w:val="20"/>
          <w:szCs w:val="20"/>
        </w:rPr>
      </w:pPr>
      <w:r w:rsidRPr="00CE2445">
        <w:rPr>
          <w:sz w:val="20"/>
          <w:szCs w:val="20"/>
        </w:rPr>
        <w:t>Los ingresos propios de Pensiones Civiles del Estado de Tlaxcala, se han visto incrementados, a partir, de la reforma, como a continuación se observa:</w:t>
      </w:r>
    </w:p>
    <w:p w14:paraId="1D50885A" w14:textId="77777777" w:rsidR="00CE2445" w:rsidRPr="00CE2445" w:rsidRDefault="00CE2445" w:rsidP="00CE2445">
      <w:pPr>
        <w:spacing w:line="360" w:lineRule="auto"/>
        <w:jc w:val="both"/>
        <w:rPr>
          <w:sz w:val="20"/>
          <w:szCs w:val="20"/>
        </w:rPr>
      </w:pPr>
    </w:p>
    <w:tbl>
      <w:tblPr>
        <w:tblW w:w="3440" w:type="dxa"/>
        <w:jc w:val="center"/>
        <w:tblCellMar>
          <w:left w:w="70" w:type="dxa"/>
          <w:right w:w="70" w:type="dxa"/>
        </w:tblCellMar>
        <w:tblLook w:val="04A0" w:firstRow="1" w:lastRow="0" w:firstColumn="1" w:lastColumn="0" w:noHBand="0" w:noVBand="1"/>
      </w:tblPr>
      <w:tblGrid>
        <w:gridCol w:w="1540"/>
        <w:gridCol w:w="1900"/>
      </w:tblGrid>
      <w:tr w:rsidR="00CE2445" w:rsidRPr="00CE2445" w14:paraId="0DB52AFD" w14:textId="77777777" w:rsidTr="00435411">
        <w:trPr>
          <w:trHeight w:val="777"/>
          <w:jc w:val="center"/>
        </w:trPr>
        <w:tc>
          <w:tcPr>
            <w:tcW w:w="15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358B9879"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AÑO</w:t>
            </w:r>
          </w:p>
        </w:tc>
        <w:tc>
          <w:tcPr>
            <w:tcW w:w="190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47652124"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APORTACIONES Y RETENCIONES (MDP)</w:t>
            </w:r>
          </w:p>
        </w:tc>
      </w:tr>
      <w:tr w:rsidR="00CE2445" w:rsidRPr="00CE2445" w14:paraId="2ED93171" w14:textId="77777777" w:rsidTr="0043541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7A3ED544"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14:paraId="57889C18" w14:textId="77777777" w:rsidR="00CE2445" w:rsidRPr="00CE2445" w:rsidRDefault="00CE2445" w:rsidP="00435411">
            <w:pPr>
              <w:spacing w:line="360" w:lineRule="auto"/>
              <w:jc w:val="right"/>
              <w:rPr>
                <w:bCs/>
                <w:color w:val="000000"/>
                <w:sz w:val="20"/>
                <w:szCs w:val="20"/>
                <w:lang w:eastAsia="es-MX"/>
              </w:rPr>
            </w:pPr>
            <w:r w:rsidRPr="00CE2445">
              <w:rPr>
                <w:bCs/>
                <w:color w:val="000000"/>
                <w:sz w:val="20"/>
                <w:szCs w:val="20"/>
                <w:lang w:eastAsia="es-MX"/>
              </w:rPr>
              <w:t>275.2</w:t>
            </w:r>
          </w:p>
        </w:tc>
      </w:tr>
      <w:tr w:rsidR="00CE2445" w:rsidRPr="00CE2445" w14:paraId="03467F7F" w14:textId="77777777" w:rsidTr="0043541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5D4A8508"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2018</w:t>
            </w:r>
          </w:p>
        </w:tc>
        <w:tc>
          <w:tcPr>
            <w:tcW w:w="1900" w:type="dxa"/>
            <w:tcBorders>
              <w:top w:val="nil"/>
              <w:left w:val="nil"/>
              <w:bottom w:val="single" w:sz="4" w:space="0" w:color="auto"/>
              <w:right w:val="single" w:sz="4" w:space="0" w:color="auto"/>
            </w:tcBorders>
            <w:shd w:val="clear" w:color="auto" w:fill="auto"/>
            <w:noWrap/>
            <w:vAlign w:val="bottom"/>
          </w:tcPr>
          <w:p w14:paraId="0EDE5A9A" w14:textId="77777777" w:rsidR="00CE2445" w:rsidRPr="00CE2445" w:rsidRDefault="00CE2445" w:rsidP="00435411">
            <w:pPr>
              <w:spacing w:line="360" w:lineRule="auto"/>
              <w:jc w:val="right"/>
              <w:rPr>
                <w:bCs/>
                <w:color w:val="000000"/>
                <w:sz w:val="20"/>
                <w:szCs w:val="20"/>
                <w:lang w:eastAsia="es-MX"/>
              </w:rPr>
            </w:pPr>
            <w:r w:rsidRPr="00CE2445">
              <w:rPr>
                <w:bCs/>
                <w:color w:val="000000"/>
                <w:sz w:val="20"/>
                <w:szCs w:val="20"/>
                <w:lang w:eastAsia="es-MX"/>
              </w:rPr>
              <w:t>267.1</w:t>
            </w:r>
          </w:p>
        </w:tc>
      </w:tr>
      <w:tr w:rsidR="00CE2445" w:rsidRPr="00CE2445" w14:paraId="24937223" w14:textId="77777777" w:rsidTr="0043541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4295CB6E"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2019</w:t>
            </w:r>
          </w:p>
        </w:tc>
        <w:tc>
          <w:tcPr>
            <w:tcW w:w="1900" w:type="dxa"/>
            <w:tcBorders>
              <w:top w:val="nil"/>
              <w:left w:val="nil"/>
              <w:bottom w:val="single" w:sz="4" w:space="0" w:color="auto"/>
              <w:right w:val="single" w:sz="4" w:space="0" w:color="auto"/>
            </w:tcBorders>
            <w:shd w:val="clear" w:color="auto" w:fill="auto"/>
            <w:noWrap/>
            <w:vAlign w:val="bottom"/>
          </w:tcPr>
          <w:p w14:paraId="07AA1FD2" w14:textId="77777777" w:rsidR="00CE2445" w:rsidRPr="00CE2445" w:rsidRDefault="00CE2445" w:rsidP="00435411">
            <w:pPr>
              <w:spacing w:line="360" w:lineRule="auto"/>
              <w:jc w:val="right"/>
              <w:rPr>
                <w:bCs/>
                <w:color w:val="000000"/>
                <w:sz w:val="20"/>
                <w:szCs w:val="20"/>
                <w:lang w:eastAsia="es-MX"/>
              </w:rPr>
            </w:pPr>
            <w:r w:rsidRPr="00CE2445">
              <w:rPr>
                <w:bCs/>
                <w:color w:val="000000"/>
                <w:sz w:val="20"/>
                <w:szCs w:val="20"/>
                <w:lang w:eastAsia="es-MX"/>
              </w:rPr>
              <w:t>290.9</w:t>
            </w:r>
          </w:p>
        </w:tc>
      </w:tr>
      <w:tr w:rsidR="00CE2445" w:rsidRPr="00CE2445" w14:paraId="4B8D9E8D" w14:textId="77777777" w:rsidTr="00435411">
        <w:trPr>
          <w:trHeight w:val="209"/>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478E810E"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2020</w:t>
            </w:r>
          </w:p>
        </w:tc>
        <w:tc>
          <w:tcPr>
            <w:tcW w:w="1900" w:type="dxa"/>
            <w:tcBorders>
              <w:top w:val="nil"/>
              <w:left w:val="nil"/>
              <w:bottom w:val="single" w:sz="4" w:space="0" w:color="auto"/>
              <w:right w:val="single" w:sz="4" w:space="0" w:color="auto"/>
            </w:tcBorders>
            <w:shd w:val="clear" w:color="auto" w:fill="auto"/>
            <w:noWrap/>
            <w:vAlign w:val="bottom"/>
          </w:tcPr>
          <w:p w14:paraId="40F9D5D8" w14:textId="77777777" w:rsidR="00CE2445" w:rsidRPr="00CE2445" w:rsidRDefault="00CE2445" w:rsidP="00435411">
            <w:pPr>
              <w:spacing w:line="360" w:lineRule="auto"/>
              <w:jc w:val="right"/>
              <w:rPr>
                <w:bCs/>
                <w:color w:val="000000"/>
                <w:sz w:val="20"/>
                <w:szCs w:val="20"/>
                <w:lang w:eastAsia="es-MX"/>
              </w:rPr>
            </w:pPr>
            <w:r w:rsidRPr="00CE2445">
              <w:rPr>
                <w:bCs/>
                <w:color w:val="000000"/>
                <w:sz w:val="20"/>
                <w:szCs w:val="20"/>
                <w:lang w:eastAsia="es-MX"/>
              </w:rPr>
              <w:t>364.2</w:t>
            </w:r>
          </w:p>
        </w:tc>
      </w:tr>
      <w:tr w:rsidR="00CE2445" w:rsidRPr="00CE2445" w14:paraId="66B1E056" w14:textId="77777777" w:rsidTr="00435411">
        <w:trPr>
          <w:trHeight w:val="209"/>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13087452"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2021</w:t>
            </w:r>
          </w:p>
        </w:tc>
        <w:tc>
          <w:tcPr>
            <w:tcW w:w="1900" w:type="dxa"/>
            <w:tcBorders>
              <w:top w:val="nil"/>
              <w:left w:val="nil"/>
              <w:bottom w:val="single" w:sz="4" w:space="0" w:color="auto"/>
              <w:right w:val="single" w:sz="4" w:space="0" w:color="auto"/>
            </w:tcBorders>
            <w:shd w:val="clear" w:color="auto" w:fill="auto"/>
            <w:noWrap/>
            <w:vAlign w:val="bottom"/>
          </w:tcPr>
          <w:p w14:paraId="4663333F" w14:textId="77777777" w:rsidR="00CE2445" w:rsidRPr="00CE2445" w:rsidRDefault="00CE2445" w:rsidP="00435411">
            <w:pPr>
              <w:spacing w:line="360" w:lineRule="auto"/>
              <w:jc w:val="right"/>
              <w:rPr>
                <w:bCs/>
                <w:color w:val="000000"/>
                <w:sz w:val="20"/>
                <w:szCs w:val="20"/>
                <w:lang w:eastAsia="es-MX"/>
              </w:rPr>
            </w:pPr>
            <w:r w:rsidRPr="00CE2445">
              <w:rPr>
                <w:bCs/>
                <w:color w:val="000000"/>
                <w:sz w:val="20"/>
                <w:szCs w:val="20"/>
                <w:lang w:eastAsia="es-MX"/>
              </w:rPr>
              <w:t>351.6</w:t>
            </w:r>
          </w:p>
        </w:tc>
      </w:tr>
      <w:tr w:rsidR="00CE2445" w:rsidRPr="00CE2445" w14:paraId="5AEEBBC5" w14:textId="77777777" w:rsidTr="00435411">
        <w:trPr>
          <w:trHeight w:val="209"/>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82506"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2022</w:t>
            </w: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5AB13297" w14:textId="77777777" w:rsidR="00CE2445" w:rsidRPr="00CE2445" w:rsidRDefault="00CE2445" w:rsidP="00435411">
            <w:pPr>
              <w:spacing w:line="360" w:lineRule="auto"/>
              <w:jc w:val="right"/>
              <w:rPr>
                <w:color w:val="000000"/>
                <w:sz w:val="20"/>
                <w:szCs w:val="20"/>
                <w:lang w:eastAsia="es-MX"/>
              </w:rPr>
            </w:pPr>
            <w:r w:rsidRPr="00CE2445">
              <w:rPr>
                <w:color w:val="000000"/>
                <w:sz w:val="20"/>
                <w:szCs w:val="20"/>
                <w:lang w:eastAsia="es-MX"/>
              </w:rPr>
              <w:t>377.9</w:t>
            </w:r>
          </w:p>
        </w:tc>
      </w:tr>
      <w:tr w:rsidR="00CE2445" w:rsidRPr="00CE2445" w14:paraId="1C080188" w14:textId="77777777" w:rsidTr="00435411">
        <w:trPr>
          <w:trHeight w:val="209"/>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66A82"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2023</w:t>
            </w: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7250ACF4" w14:textId="77777777" w:rsidR="00CE2445" w:rsidRPr="00CE2445" w:rsidRDefault="00CE2445" w:rsidP="00435411">
            <w:pPr>
              <w:spacing w:line="360" w:lineRule="auto"/>
              <w:jc w:val="right"/>
              <w:rPr>
                <w:color w:val="000000"/>
                <w:sz w:val="20"/>
                <w:szCs w:val="20"/>
                <w:lang w:eastAsia="es-MX"/>
              </w:rPr>
            </w:pPr>
            <w:r w:rsidRPr="00CE2445">
              <w:rPr>
                <w:color w:val="000000"/>
                <w:sz w:val="20"/>
                <w:szCs w:val="20"/>
                <w:lang w:eastAsia="es-MX"/>
              </w:rPr>
              <w:t>413.2</w:t>
            </w:r>
          </w:p>
        </w:tc>
      </w:tr>
      <w:tr w:rsidR="00CE2445" w:rsidRPr="00CE2445" w14:paraId="7062ED59" w14:textId="77777777" w:rsidTr="00435411">
        <w:trPr>
          <w:trHeight w:val="209"/>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7A2F7FAA"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*Ejercicio 2024</w:t>
            </w:r>
          </w:p>
        </w:tc>
        <w:tc>
          <w:tcPr>
            <w:tcW w:w="1900" w:type="dxa"/>
            <w:tcBorders>
              <w:top w:val="nil"/>
              <w:left w:val="nil"/>
              <w:bottom w:val="single" w:sz="4" w:space="0" w:color="auto"/>
              <w:right w:val="single" w:sz="4" w:space="0" w:color="auto"/>
            </w:tcBorders>
            <w:shd w:val="clear" w:color="auto" w:fill="auto"/>
            <w:noWrap/>
            <w:vAlign w:val="bottom"/>
          </w:tcPr>
          <w:p w14:paraId="0B41A4FB" w14:textId="77777777" w:rsidR="00CE2445" w:rsidRPr="00CE2445" w:rsidRDefault="00CE2445" w:rsidP="00435411">
            <w:pPr>
              <w:spacing w:line="360" w:lineRule="auto"/>
              <w:jc w:val="right"/>
              <w:rPr>
                <w:b/>
                <w:bCs/>
                <w:color w:val="000000"/>
                <w:sz w:val="20"/>
                <w:szCs w:val="20"/>
                <w:lang w:eastAsia="es-MX"/>
              </w:rPr>
            </w:pPr>
            <w:r w:rsidRPr="00CE2445">
              <w:rPr>
                <w:b/>
                <w:bCs/>
                <w:color w:val="000000"/>
                <w:sz w:val="20"/>
                <w:szCs w:val="20"/>
                <w:lang w:eastAsia="es-MX"/>
              </w:rPr>
              <w:t>309.5</w:t>
            </w:r>
          </w:p>
        </w:tc>
      </w:tr>
      <w:tr w:rsidR="00CE2445" w:rsidRPr="00CE2445" w14:paraId="2CA4D22A" w14:textId="77777777" w:rsidTr="00435411">
        <w:trPr>
          <w:trHeight w:val="209"/>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E386A11" w14:textId="77777777" w:rsidR="00CE2445" w:rsidRPr="00CE2445" w:rsidRDefault="00CE2445" w:rsidP="00435411">
            <w:pPr>
              <w:spacing w:line="360" w:lineRule="auto"/>
              <w:jc w:val="center"/>
              <w:rPr>
                <w:b/>
                <w:bCs/>
                <w:color w:val="000000"/>
                <w:sz w:val="20"/>
                <w:szCs w:val="20"/>
                <w:lang w:eastAsia="es-MX"/>
              </w:rPr>
            </w:pPr>
            <w:r w:rsidRPr="00CE2445">
              <w:rPr>
                <w:b/>
                <w:bCs/>
                <w:color w:val="000000"/>
                <w:sz w:val="20"/>
                <w:szCs w:val="20"/>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14:paraId="7549D607" w14:textId="77777777" w:rsidR="00CE2445" w:rsidRPr="00CE2445" w:rsidRDefault="00CE2445" w:rsidP="00435411">
            <w:pPr>
              <w:spacing w:line="360" w:lineRule="auto"/>
              <w:jc w:val="right"/>
              <w:rPr>
                <w:b/>
                <w:bCs/>
                <w:color w:val="000000"/>
                <w:sz w:val="20"/>
                <w:szCs w:val="20"/>
                <w:lang w:eastAsia="es-MX"/>
              </w:rPr>
            </w:pPr>
            <w:r w:rsidRPr="00CE2445">
              <w:rPr>
                <w:b/>
                <w:bCs/>
                <w:color w:val="000000"/>
                <w:sz w:val="20"/>
                <w:szCs w:val="20"/>
                <w:lang w:eastAsia="es-MX"/>
              </w:rPr>
              <w:t xml:space="preserve">2,649.6 </w:t>
            </w:r>
          </w:p>
        </w:tc>
      </w:tr>
    </w:tbl>
    <w:p w14:paraId="4A1F6668" w14:textId="77777777" w:rsidR="00CE2445" w:rsidRPr="00E021D0" w:rsidRDefault="00CE2445" w:rsidP="00CE2445">
      <w:pPr>
        <w:spacing w:line="360" w:lineRule="auto"/>
        <w:jc w:val="center"/>
        <w:rPr>
          <w:b/>
          <w:sz w:val="16"/>
          <w:lang w:val="es-MX"/>
        </w:rPr>
      </w:pPr>
      <w:r w:rsidRPr="00E021D0">
        <w:rPr>
          <w:b/>
          <w:sz w:val="16"/>
          <w:lang w:val="es-MX"/>
        </w:rPr>
        <w:t>* Cifras al Cierre del mes de septiembre de 2024.</w:t>
      </w:r>
    </w:p>
    <w:p w14:paraId="6ECFC2E4" w14:textId="77777777" w:rsidR="00E021D0" w:rsidRDefault="00E021D0" w:rsidP="00CE2445">
      <w:pPr>
        <w:spacing w:line="360" w:lineRule="auto"/>
        <w:jc w:val="both"/>
        <w:rPr>
          <w:sz w:val="20"/>
          <w:szCs w:val="20"/>
        </w:rPr>
      </w:pPr>
    </w:p>
    <w:p w14:paraId="31A872C2" w14:textId="01BA9AC2" w:rsidR="00CE2445" w:rsidRPr="00CE2445" w:rsidRDefault="00CE2445" w:rsidP="00CE2445">
      <w:pPr>
        <w:spacing w:line="360" w:lineRule="auto"/>
        <w:jc w:val="both"/>
        <w:rPr>
          <w:sz w:val="20"/>
          <w:szCs w:val="20"/>
        </w:rPr>
      </w:pPr>
      <w:r w:rsidRPr="00CE2445">
        <w:rPr>
          <w:sz w:val="20"/>
          <w:szCs w:val="20"/>
        </w:rPr>
        <w:t>El Gobierno del Estado, tiene como prioridad sanear el Sistema Estatal de Pensiones garantizando la solvencia de la Institución e impulsando el otorgamiento y recuperación de créditos. En los últimos años se han realizado las aportaciones al Fondo de Créditos por 150 Millones de pesos.</w:t>
      </w:r>
    </w:p>
    <w:p w14:paraId="26474130" w14:textId="77777777" w:rsidR="00CE2445" w:rsidRPr="00CE2445" w:rsidRDefault="00CE2445" w:rsidP="00CE2445">
      <w:pPr>
        <w:spacing w:line="360" w:lineRule="auto"/>
        <w:jc w:val="both"/>
        <w:rPr>
          <w:sz w:val="20"/>
          <w:szCs w:val="20"/>
        </w:rPr>
      </w:pPr>
    </w:p>
    <w:p w14:paraId="169C9792" w14:textId="77777777" w:rsidR="00CE2445" w:rsidRPr="00CE2445" w:rsidRDefault="00CE2445" w:rsidP="00CE2445">
      <w:pPr>
        <w:spacing w:line="360" w:lineRule="auto"/>
        <w:jc w:val="both"/>
        <w:rPr>
          <w:sz w:val="20"/>
          <w:szCs w:val="20"/>
        </w:rPr>
      </w:pPr>
      <w:r w:rsidRPr="00CE2445">
        <w:rPr>
          <w:noProof/>
          <w:sz w:val="20"/>
          <w:szCs w:val="20"/>
          <w:lang w:val="es-MX" w:eastAsia="es-MX"/>
        </w:rPr>
        <w:lastRenderedPageBreak/>
        <w:drawing>
          <wp:inline distT="0" distB="0" distL="0" distR="0" wp14:anchorId="7F8210BC" wp14:editId="3BC8EE90">
            <wp:extent cx="5172046" cy="3139283"/>
            <wp:effectExtent l="0" t="0" r="0" b="4445"/>
            <wp:docPr id="3394235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7540" cy="3148687"/>
                    </a:xfrm>
                    <a:prstGeom prst="rect">
                      <a:avLst/>
                    </a:prstGeom>
                    <a:noFill/>
                  </pic:spPr>
                </pic:pic>
              </a:graphicData>
            </a:graphic>
          </wp:inline>
        </w:drawing>
      </w:r>
    </w:p>
    <w:p w14:paraId="106F7A4F" w14:textId="77777777" w:rsidR="00CE2445" w:rsidRPr="00CE2445" w:rsidRDefault="00CE2445" w:rsidP="00CE2445">
      <w:pPr>
        <w:pStyle w:val="PRIMERAPLANA"/>
        <w:spacing w:line="360" w:lineRule="auto"/>
        <w:rPr>
          <w:rFonts w:ascii="Times New Roman" w:hAnsi="Times New Roman"/>
          <w:bCs/>
          <w:lang w:val="es-MX"/>
        </w:rPr>
      </w:pPr>
    </w:p>
    <w:p w14:paraId="1FB3DA01" w14:textId="77777777" w:rsidR="00CE2445" w:rsidRPr="00CE2445" w:rsidRDefault="00CE2445" w:rsidP="00D50246">
      <w:pPr>
        <w:pStyle w:val="PRIMERAPLANA"/>
        <w:numPr>
          <w:ilvl w:val="0"/>
          <w:numId w:val="16"/>
        </w:numPr>
        <w:spacing w:line="360" w:lineRule="auto"/>
        <w:ind w:left="426" w:hanging="426"/>
        <w:rPr>
          <w:rFonts w:ascii="Times New Roman" w:hAnsi="Times New Roman"/>
          <w:b/>
          <w:lang w:val="es-MX"/>
        </w:rPr>
      </w:pPr>
      <w:r w:rsidRPr="00CE2445">
        <w:rPr>
          <w:rFonts w:ascii="Times New Roman" w:hAnsi="Times New Roman"/>
          <w:b/>
          <w:lang w:val="es-MX"/>
        </w:rPr>
        <w:t>CONCLUSIÓN</w:t>
      </w:r>
    </w:p>
    <w:p w14:paraId="51BF1FC5" w14:textId="77777777" w:rsidR="00CE2445" w:rsidRPr="00CE2445" w:rsidRDefault="00CE2445" w:rsidP="00CE2445">
      <w:pPr>
        <w:spacing w:line="360" w:lineRule="auto"/>
        <w:ind w:left="-11"/>
        <w:jc w:val="both"/>
        <w:rPr>
          <w:sz w:val="20"/>
          <w:szCs w:val="20"/>
        </w:rPr>
      </w:pPr>
    </w:p>
    <w:p w14:paraId="2C32A661" w14:textId="77777777" w:rsidR="00CE2445" w:rsidRPr="00CE2445" w:rsidRDefault="00CE2445" w:rsidP="00CE2445">
      <w:pPr>
        <w:spacing w:line="360" w:lineRule="auto"/>
        <w:ind w:left="-11"/>
        <w:jc w:val="both"/>
        <w:rPr>
          <w:sz w:val="20"/>
          <w:szCs w:val="20"/>
        </w:rPr>
      </w:pPr>
      <w:r w:rsidRPr="00CE2445">
        <w:rPr>
          <w:sz w:val="20"/>
          <w:szCs w:val="20"/>
        </w:rPr>
        <w:t>Esta administración, ha definido políticas públicas para impulsar el desarrollo del Estado de una forma más equitativa, entre las que destacan: Fomentar las inversiones productivas, promover el empleo, la competitividad sectorial y la productividad, así como otorgar facilidades en las regulaciones públicas que incentiven la modernización del sector productivo, mediante espacios de concertación y apoyo con los sectores empresariales, los productores del campo, los sectores artesanales y los emprendedores.</w:t>
      </w:r>
    </w:p>
    <w:p w14:paraId="2E259A9A" w14:textId="77777777" w:rsidR="00CE2445" w:rsidRPr="00CE2445" w:rsidRDefault="00CE2445" w:rsidP="00CE2445">
      <w:pPr>
        <w:spacing w:line="360" w:lineRule="auto"/>
        <w:ind w:left="-11"/>
        <w:jc w:val="both"/>
        <w:rPr>
          <w:sz w:val="20"/>
          <w:szCs w:val="20"/>
        </w:rPr>
      </w:pPr>
    </w:p>
    <w:p w14:paraId="73A8C4BB" w14:textId="77777777" w:rsidR="00CE2445" w:rsidRPr="00CE2445" w:rsidRDefault="00CE2445" w:rsidP="00CE2445">
      <w:pPr>
        <w:spacing w:line="360" w:lineRule="auto"/>
        <w:ind w:left="-11"/>
        <w:jc w:val="both"/>
        <w:rPr>
          <w:sz w:val="20"/>
          <w:szCs w:val="20"/>
        </w:rPr>
      </w:pPr>
      <w:r w:rsidRPr="00CE2445">
        <w:rPr>
          <w:sz w:val="20"/>
          <w:szCs w:val="20"/>
        </w:rPr>
        <w:t>Optimizar la recaudación fiscal de las diferentes fuentes de ingresos, a través de la obtención de mayores recursos fiscales, siendo el Sistema Nacional de Coordinación Fiscal un instrumento de gran relevancia para la obtención de estos recursos vía transferencias federales, reducir la desigualdad, promover el empleo e incrementar el PIB per cápita, son los objetivos que nos hemos planteado lograr en beneficio de la población que menos tiene.</w:t>
      </w:r>
    </w:p>
    <w:p w14:paraId="2C904261" w14:textId="77777777" w:rsidR="00CE2445" w:rsidRPr="00CE2445" w:rsidRDefault="00CE2445" w:rsidP="00CE2445">
      <w:pPr>
        <w:spacing w:line="360" w:lineRule="auto"/>
        <w:ind w:left="-11"/>
        <w:jc w:val="both"/>
        <w:rPr>
          <w:sz w:val="20"/>
          <w:szCs w:val="20"/>
        </w:rPr>
      </w:pPr>
    </w:p>
    <w:p w14:paraId="354F543D" w14:textId="77777777" w:rsidR="00CE2445" w:rsidRPr="00CE2445" w:rsidRDefault="00CE2445" w:rsidP="00CE2445">
      <w:pPr>
        <w:spacing w:line="360" w:lineRule="auto"/>
        <w:ind w:left="-11"/>
        <w:jc w:val="both"/>
        <w:rPr>
          <w:sz w:val="20"/>
          <w:szCs w:val="20"/>
        </w:rPr>
      </w:pPr>
      <w:r w:rsidRPr="00CE2445">
        <w:rPr>
          <w:sz w:val="20"/>
          <w:szCs w:val="20"/>
        </w:rPr>
        <w:t>El combate frontal a la corrupción es un elemento fundamental a considerar en el mediano plazo, pues a través de los ahorros generados por este concepto, se destinarán a fortalecer los programas sociales para mejorar la calidad de vida de la población en general.</w:t>
      </w:r>
    </w:p>
    <w:p w14:paraId="3F5F6933" w14:textId="77777777" w:rsidR="00CE2445" w:rsidRPr="00CE2445" w:rsidRDefault="00CE2445" w:rsidP="00CE2445">
      <w:pPr>
        <w:spacing w:line="360" w:lineRule="auto"/>
        <w:ind w:left="-11"/>
        <w:jc w:val="both"/>
        <w:rPr>
          <w:sz w:val="20"/>
          <w:szCs w:val="20"/>
        </w:rPr>
      </w:pPr>
    </w:p>
    <w:p w14:paraId="4A53967A" w14:textId="77777777" w:rsidR="00CE2445" w:rsidRPr="00CE2445" w:rsidRDefault="00CE2445" w:rsidP="00CE2445">
      <w:pPr>
        <w:spacing w:line="360" w:lineRule="auto"/>
        <w:ind w:left="-11"/>
        <w:jc w:val="both"/>
        <w:rPr>
          <w:sz w:val="20"/>
          <w:szCs w:val="20"/>
        </w:rPr>
      </w:pPr>
      <w:r w:rsidRPr="00CE2445">
        <w:rPr>
          <w:sz w:val="20"/>
          <w:szCs w:val="20"/>
        </w:rPr>
        <w:lastRenderedPageBreak/>
        <w:t>La política del Estado en materia de ingresos, contribuirá a mantener un Balance Presupuestario Sostenible y a soportar el financiamiento del gasto público, promoviendo el cumplimiento voluntario para incrementar la recaudación, sin aumentar los impuestos vigentes.</w:t>
      </w:r>
    </w:p>
    <w:p w14:paraId="03C0B511" w14:textId="77777777" w:rsidR="00CE2445" w:rsidRPr="00CE2445" w:rsidRDefault="00CE2445" w:rsidP="00CE2445">
      <w:pPr>
        <w:pStyle w:val="PRIMERAPLANA"/>
        <w:spacing w:line="360" w:lineRule="auto"/>
        <w:rPr>
          <w:rFonts w:ascii="Times New Roman" w:hAnsi="Times New Roman"/>
          <w:bCs/>
          <w:lang w:val="es-MX"/>
        </w:rPr>
      </w:pPr>
    </w:p>
    <w:p w14:paraId="12EF127D" w14:textId="77777777" w:rsidR="00CE2445" w:rsidRPr="00CE2445" w:rsidRDefault="00CE2445" w:rsidP="00CE2445">
      <w:pPr>
        <w:spacing w:line="360" w:lineRule="auto"/>
        <w:ind w:left="-11"/>
        <w:jc w:val="both"/>
        <w:rPr>
          <w:sz w:val="20"/>
          <w:szCs w:val="20"/>
        </w:rPr>
      </w:pPr>
      <w:r w:rsidRPr="00CE2445">
        <w:rPr>
          <w:sz w:val="20"/>
          <w:szCs w:val="20"/>
        </w:rPr>
        <w:t xml:space="preserve">La Iniciativa de Ley de Ingresos del Estado de Tlaxcala, para el Ejercicio Fiscal 2025, considera un pronóstico de ingresos prudente, al tomar como referencia el comportamiento de las finanzas estatales y los posibles riesgos que pudieran modificar las metas planteadas, así como las medidas para contener dichos riesgos; es por ello que esta administración, en las consideraciones que sustentan la presente Iniciativa, da cumplimiento a las disposiciones en materia de contabilidad gubernamental, coordinación fiscal, disciplina financiera, fortalecimiento a la fiscalización, responsabilidad hacendaria, transparencia y rendición de cuentas, tomando en consideración el Documento Relativo al Cumplimiento de </w:t>
      </w:r>
      <w:bookmarkStart w:id="0" w:name="_Hlk178767762"/>
      <w:r w:rsidRPr="00CE2445">
        <w:rPr>
          <w:sz w:val="20"/>
          <w:szCs w:val="20"/>
        </w:rPr>
        <w:t>las Disposiciones contenidas en el artículo 42, fracción I, de la Ley Federal de Presupuesto y Responsabilidad Hacendaria (Pre-Criterios 2025) y en los Criterios Generales de Política Económica para la Iniciativa de Ley de Ingresos y el Proyecto de Presupuesto de Egresos de la Federación correspondientes al Ejercicio Fiscal 2024 y del Código Financiero para el Estado de Tlaxcala y sus Municipios.</w:t>
      </w:r>
    </w:p>
    <w:bookmarkEnd w:id="0"/>
    <w:p w14:paraId="78A4F98F" w14:textId="77777777" w:rsidR="00CE2445" w:rsidRPr="00CE2445" w:rsidRDefault="00CE2445" w:rsidP="00CE2445">
      <w:pPr>
        <w:spacing w:line="360" w:lineRule="auto"/>
        <w:ind w:left="-11"/>
        <w:jc w:val="both"/>
        <w:rPr>
          <w:sz w:val="20"/>
          <w:szCs w:val="20"/>
        </w:rPr>
      </w:pPr>
    </w:p>
    <w:p w14:paraId="6C06CCF8" w14:textId="77777777" w:rsidR="00CE2445" w:rsidRPr="00CE2445" w:rsidRDefault="00CE2445" w:rsidP="00CE2445">
      <w:pPr>
        <w:spacing w:line="360" w:lineRule="auto"/>
        <w:ind w:left="-11"/>
        <w:jc w:val="both"/>
        <w:rPr>
          <w:sz w:val="20"/>
          <w:szCs w:val="20"/>
        </w:rPr>
      </w:pPr>
      <w:r w:rsidRPr="00CE2445">
        <w:rPr>
          <w:sz w:val="20"/>
          <w:szCs w:val="20"/>
        </w:rPr>
        <w:t xml:space="preserve">Por lo antes expuesto y dando cumplimiento a lo establecido en la Constitución Política del Estado Libre y Soberano de Tlaxcala, la Iniciativa de Ley de Ingresos del Estado de Tlaxcala, para el Ejercicio Fiscal 2025; prevé un monto total de ingresos por </w:t>
      </w:r>
      <w:bookmarkStart w:id="1" w:name="_Hlk179983346"/>
      <w:r w:rsidRPr="00CE2445">
        <w:rPr>
          <w:sz w:val="20"/>
          <w:szCs w:val="20"/>
        </w:rPr>
        <w:t>$29,129,883,393.00 (Veintinueve mil ciento veintinueve millones ochocientos ochenta y tres mil trescientos noventa y tres pesos 00/100 M.N.)</w:t>
      </w:r>
      <w:bookmarkEnd w:id="1"/>
      <w:r w:rsidRPr="00CE2445">
        <w:rPr>
          <w:sz w:val="20"/>
          <w:szCs w:val="20"/>
        </w:rPr>
        <w:t>.</w:t>
      </w:r>
    </w:p>
    <w:p w14:paraId="5BF24732" w14:textId="77777777" w:rsidR="00CE2445" w:rsidRPr="00CE2445" w:rsidRDefault="00CE2445" w:rsidP="00CE2445">
      <w:pPr>
        <w:spacing w:line="360" w:lineRule="auto"/>
        <w:ind w:left="-11"/>
        <w:jc w:val="both"/>
        <w:rPr>
          <w:sz w:val="20"/>
          <w:szCs w:val="20"/>
        </w:rPr>
      </w:pPr>
    </w:p>
    <w:p w14:paraId="0F131DBD" w14:textId="2F3F07F0" w:rsidR="00560012" w:rsidRDefault="00560012" w:rsidP="00D50246">
      <w:pPr>
        <w:pStyle w:val="Prrafodelista"/>
        <w:numPr>
          <w:ilvl w:val="0"/>
          <w:numId w:val="3"/>
        </w:numPr>
        <w:spacing w:line="360" w:lineRule="auto"/>
        <w:contextualSpacing/>
        <w:rPr>
          <w:b/>
          <w:sz w:val="20"/>
          <w:szCs w:val="20"/>
        </w:rPr>
      </w:pPr>
      <w:r>
        <w:rPr>
          <w:b/>
          <w:sz w:val="20"/>
          <w:szCs w:val="20"/>
        </w:rPr>
        <w:t>EN MATERIA DE EGRESOS</w:t>
      </w:r>
      <w:r w:rsidR="00326D92">
        <w:rPr>
          <w:b/>
          <w:sz w:val="20"/>
          <w:szCs w:val="20"/>
        </w:rPr>
        <w:t xml:space="preserve"> </w:t>
      </w:r>
      <w:r w:rsidR="00296B0E">
        <w:rPr>
          <w:b/>
          <w:sz w:val="20"/>
          <w:szCs w:val="20"/>
        </w:rPr>
        <w:t xml:space="preserve"> </w:t>
      </w:r>
    </w:p>
    <w:p w14:paraId="414E2802" w14:textId="77777777" w:rsidR="00D13037" w:rsidRPr="00786327" w:rsidRDefault="00D13037" w:rsidP="00525B2B">
      <w:pPr>
        <w:spacing w:line="360" w:lineRule="auto"/>
        <w:jc w:val="both"/>
        <w:rPr>
          <w:rFonts w:eastAsia="Calibri"/>
          <w:color w:val="000000" w:themeColor="text1"/>
          <w:sz w:val="10"/>
          <w:szCs w:val="10"/>
        </w:rPr>
      </w:pPr>
    </w:p>
    <w:p w14:paraId="04EA6870" w14:textId="0C6F9D6C" w:rsidR="00A86621" w:rsidRPr="00A86621" w:rsidRDefault="009A6A8E" w:rsidP="00A86621">
      <w:pPr>
        <w:spacing w:line="360" w:lineRule="auto"/>
        <w:jc w:val="both"/>
        <w:rPr>
          <w:rFonts w:eastAsia="Calibri"/>
          <w:sz w:val="20"/>
          <w:szCs w:val="20"/>
        </w:rPr>
      </w:pPr>
      <w:r>
        <w:rPr>
          <w:rFonts w:eastAsia="Calibri"/>
          <w:sz w:val="20"/>
          <w:szCs w:val="20"/>
        </w:rPr>
        <w:t>El P</w:t>
      </w:r>
      <w:r w:rsidR="00A86621" w:rsidRPr="00A86621">
        <w:rPr>
          <w:rFonts w:eastAsia="Calibri"/>
          <w:sz w:val="20"/>
          <w:szCs w:val="20"/>
        </w:rPr>
        <w:t xml:space="preserve">aquete </w:t>
      </w:r>
      <w:r>
        <w:rPr>
          <w:rFonts w:eastAsia="Calibri"/>
          <w:sz w:val="20"/>
          <w:szCs w:val="20"/>
        </w:rPr>
        <w:t>E</w:t>
      </w:r>
      <w:r w:rsidR="00A86621" w:rsidRPr="00A86621">
        <w:rPr>
          <w:rFonts w:eastAsia="Calibri"/>
          <w:sz w:val="20"/>
          <w:szCs w:val="20"/>
        </w:rPr>
        <w:t>conómico de</w:t>
      </w:r>
      <w:r w:rsidR="00A86621">
        <w:rPr>
          <w:rFonts w:eastAsia="Calibri"/>
          <w:sz w:val="20"/>
          <w:szCs w:val="20"/>
        </w:rPr>
        <w:t>l Estado de</w:t>
      </w:r>
      <w:r w:rsidR="00A86621" w:rsidRPr="00A86621">
        <w:rPr>
          <w:rFonts w:eastAsia="Calibri"/>
          <w:sz w:val="20"/>
          <w:szCs w:val="20"/>
        </w:rPr>
        <w:t xml:space="preserve"> Tlaxcala para el </w:t>
      </w:r>
      <w:r>
        <w:rPr>
          <w:rFonts w:eastAsia="Calibri"/>
          <w:sz w:val="20"/>
          <w:szCs w:val="20"/>
        </w:rPr>
        <w:t>E</w:t>
      </w:r>
      <w:r w:rsidR="00A86621" w:rsidRPr="00A86621">
        <w:rPr>
          <w:rFonts w:eastAsia="Calibri"/>
          <w:sz w:val="20"/>
          <w:szCs w:val="20"/>
        </w:rPr>
        <w:t xml:space="preserve">jercicio </w:t>
      </w:r>
      <w:r>
        <w:rPr>
          <w:rFonts w:eastAsia="Calibri"/>
          <w:sz w:val="20"/>
          <w:szCs w:val="20"/>
        </w:rPr>
        <w:t>F</w:t>
      </w:r>
      <w:r w:rsidR="00A86621" w:rsidRPr="00A86621">
        <w:rPr>
          <w:rFonts w:eastAsia="Calibri"/>
          <w:sz w:val="20"/>
          <w:szCs w:val="20"/>
        </w:rPr>
        <w:t>iscal 202</w:t>
      </w:r>
      <w:r w:rsidR="00A86621">
        <w:rPr>
          <w:rFonts w:eastAsia="Calibri"/>
          <w:sz w:val="20"/>
          <w:szCs w:val="20"/>
        </w:rPr>
        <w:t>5</w:t>
      </w:r>
      <w:r w:rsidR="00F241C2" w:rsidRPr="00A440FD">
        <w:rPr>
          <w:rFonts w:eastAsia="Calibri"/>
          <w:sz w:val="20"/>
          <w:szCs w:val="20"/>
        </w:rPr>
        <w:t xml:space="preserve">, </w:t>
      </w:r>
      <w:r w:rsidR="00A86621" w:rsidRPr="00A86621">
        <w:rPr>
          <w:rFonts w:eastAsia="Calibri"/>
          <w:sz w:val="20"/>
          <w:szCs w:val="20"/>
        </w:rPr>
        <w:t>ha sido diseñado con una orientación clara hacia los principios de austeridad, disciplina financiera, honestidad y combate a la corrupción. Estos valores sustentan los compromisos, proyectos y políticas de la administración estatal, los cuales buscan fomentar el desarrollo en áreas fundamentales como la economía, el ámbito social, la educación, la cultura y la seguridad, en beneficio de los habitantes del Estado.</w:t>
      </w:r>
    </w:p>
    <w:p w14:paraId="2FB53EC5" w14:textId="77777777" w:rsidR="00A86621" w:rsidRPr="00A86621" w:rsidRDefault="00A86621" w:rsidP="00A86621">
      <w:pPr>
        <w:spacing w:line="360" w:lineRule="auto"/>
        <w:jc w:val="both"/>
        <w:rPr>
          <w:rFonts w:eastAsia="Calibri"/>
          <w:sz w:val="20"/>
          <w:szCs w:val="20"/>
        </w:rPr>
      </w:pPr>
    </w:p>
    <w:p w14:paraId="5735DA3D" w14:textId="77777777" w:rsidR="00A86621" w:rsidRPr="00A86621" w:rsidRDefault="00A86621" w:rsidP="00A86621">
      <w:pPr>
        <w:spacing w:line="360" w:lineRule="auto"/>
        <w:jc w:val="both"/>
        <w:rPr>
          <w:rFonts w:eastAsia="Calibri"/>
          <w:sz w:val="20"/>
          <w:szCs w:val="20"/>
        </w:rPr>
      </w:pPr>
      <w:r w:rsidRPr="00A86621">
        <w:rPr>
          <w:rFonts w:eastAsia="Calibri"/>
          <w:sz w:val="20"/>
          <w:szCs w:val="20"/>
        </w:rPr>
        <w:t xml:space="preserve">En este marco, el presupuesto ha sido elaborado bajo criterios de balance y sostenibilidad, con una fuerte apuesta por optimizar la recaudación de ingresos y mejorar la gestión de recursos provenientes de la Federación. A través de una colaboración estrecha con el Gobierno Federal y los municipios, </w:t>
      </w:r>
      <w:r w:rsidRPr="00A86621">
        <w:rPr>
          <w:rFonts w:eastAsia="Calibri"/>
          <w:sz w:val="20"/>
          <w:szCs w:val="20"/>
        </w:rPr>
        <w:lastRenderedPageBreak/>
        <w:t>Tlaxcala se propone impulsar su potencial en todos los sectores, consolidándose como una entidad resiliente y con proyección.</w:t>
      </w:r>
    </w:p>
    <w:p w14:paraId="13B04217" w14:textId="77777777" w:rsidR="00A86621" w:rsidRDefault="00A86621" w:rsidP="00A86621">
      <w:pPr>
        <w:spacing w:line="360" w:lineRule="auto"/>
        <w:jc w:val="both"/>
        <w:rPr>
          <w:rFonts w:eastAsia="Calibri"/>
          <w:sz w:val="20"/>
          <w:szCs w:val="20"/>
        </w:rPr>
      </w:pPr>
    </w:p>
    <w:p w14:paraId="077B3DAB" w14:textId="62EC0608" w:rsidR="00F241C2" w:rsidRPr="00A440FD" w:rsidRDefault="00A86621" w:rsidP="00A86621">
      <w:pPr>
        <w:spacing w:line="360" w:lineRule="auto"/>
        <w:jc w:val="both"/>
        <w:rPr>
          <w:rFonts w:eastAsia="Calibri"/>
          <w:sz w:val="20"/>
          <w:szCs w:val="20"/>
        </w:rPr>
      </w:pPr>
      <w:r w:rsidRPr="00A86621">
        <w:rPr>
          <w:rFonts w:eastAsia="Calibri"/>
          <w:sz w:val="20"/>
          <w:szCs w:val="20"/>
        </w:rPr>
        <w:t>Como prioridad, el gobierno se enfoca en atender las principales demandas ciudadanas con el objetivo de mejorar la calidad de vida y los servicios públicos que reciben las familias tlaxcaltecas. Parte de esta visión incluye la creación de condiciones para una vida digna y pacífica, al tiempo que se atacan las causas estructurales de la inseguridad, promoviendo la participación activa de los ciudadanos y fortaleciendo la cohesión social. En conjunto, estos esfuerzos buscan prevenir la delincuencia y combatir la violencia y la ilegalidad, generando un entorno donde predomine la armonía y el desarrollo integral para todos los habitantes de Tlaxcala.</w:t>
      </w:r>
    </w:p>
    <w:p w14:paraId="1AB66922" w14:textId="77777777" w:rsidR="00A86621" w:rsidRDefault="00A86621" w:rsidP="00F241C2">
      <w:pPr>
        <w:spacing w:line="360" w:lineRule="auto"/>
        <w:jc w:val="both"/>
        <w:rPr>
          <w:rFonts w:eastAsia="Calibri"/>
          <w:sz w:val="20"/>
          <w:szCs w:val="20"/>
        </w:rPr>
      </w:pPr>
    </w:p>
    <w:p w14:paraId="30CB3A41" w14:textId="6F3EA7C5" w:rsidR="00F241C2" w:rsidRDefault="00A86621" w:rsidP="00F241C2">
      <w:pPr>
        <w:spacing w:line="360" w:lineRule="auto"/>
        <w:jc w:val="both"/>
        <w:rPr>
          <w:rFonts w:eastAsia="Calibri"/>
          <w:sz w:val="20"/>
          <w:szCs w:val="20"/>
        </w:rPr>
      </w:pPr>
      <w:r w:rsidRPr="00A86621">
        <w:rPr>
          <w:rFonts w:eastAsia="Calibri"/>
          <w:sz w:val="20"/>
          <w:szCs w:val="20"/>
        </w:rPr>
        <w:t>En alineación con las estrategias del Gobierno Federal, Tlaxcala busca reducir las desigualdades y avanzar en la lucha contra las inequidades mediante una política social inclusiva que promueve la transformación desde la unidad. Este enfoque se dirige a combatir la pobreza salarial y fomentar la generación de empleo, apoyando la modernización de sectores clave de la economía que impulsen una mayor productividad, competitividad e innovación.</w:t>
      </w:r>
    </w:p>
    <w:p w14:paraId="51B728AD" w14:textId="77777777" w:rsidR="00A86621" w:rsidRDefault="00A86621" w:rsidP="00F241C2">
      <w:pPr>
        <w:spacing w:line="360" w:lineRule="auto"/>
        <w:jc w:val="both"/>
        <w:rPr>
          <w:rFonts w:eastAsia="Calibri"/>
          <w:sz w:val="20"/>
          <w:szCs w:val="20"/>
        </w:rPr>
      </w:pPr>
    </w:p>
    <w:p w14:paraId="3C30B575" w14:textId="2585B6E8" w:rsidR="00A86621" w:rsidRDefault="00A86621" w:rsidP="00F241C2">
      <w:pPr>
        <w:spacing w:line="360" w:lineRule="auto"/>
        <w:jc w:val="both"/>
        <w:rPr>
          <w:rFonts w:eastAsia="Calibri"/>
          <w:sz w:val="20"/>
          <w:szCs w:val="20"/>
        </w:rPr>
      </w:pPr>
      <w:r w:rsidRPr="00A86621">
        <w:rPr>
          <w:rFonts w:eastAsia="Calibri"/>
          <w:sz w:val="20"/>
          <w:szCs w:val="20"/>
        </w:rPr>
        <w:t>Asi</w:t>
      </w:r>
      <w:r w:rsidR="009A6A8E">
        <w:rPr>
          <w:rFonts w:eastAsia="Calibri"/>
          <w:sz w:val="20"/>
          <w:szCs w:val="20"/>
        </w:rPr>
        <w:t>mismo, es crucial construir un G</w:t>
      </w:r>
      <w:r w:rsidRPr="00A86621">
        <w:rPr>
          <w:rFonts w:eastAsia="Calibri"/>
          <w:sz w:val="20"/>
          <w:szCs w:val="20"/>
        </w:rPr>
        <w:t>obierno al servicio del pueblo que diseñe y dirija una transformación en unidad, impulsando un cambio profundo mediante la participación activa de la ciudadanía y las inversiones en áreas estratégicas y prioritarias. Este enfoque debe estar orientado a generar beneficios tangibles para las personas y transformar las estructuras económicas, sociales, culturales e institucionales que perpetúan la desigualdad en estructuras justas y equitativas, tanto para hombres como para mujeres.</w:t>
      </w:r>
    </w:p>
    <w:p w14:paraId="39380BEA" w14:textId="77777777" w:rsidR="009A6A8E" w:rsidRDefault="009A6A8E" w:rsidP="00F241C2">
      <w:pPr>
        <w:spacing w:line="360" w:lineRule="auto"/>
        <w:jc w:val="both"/>
        <w:rPr>
          <w:rFonts w:eastAsia="Calibri"/>
          <w:sz w:val="20"/>
          <w:szCs w:val="20"/>
        </w:rPr>
      </w:pPr>
    </w:p>
    <w:p w14:paraId="4471C2D9" w14:textId="64B6136B" w:rsidR="00F241C2" w:rsidRDefault="001C0235" w:rsidP="00F241C2">
      <w:pPr>
        <w:spacing w:line="360" w:lineRule="auto"/>
        <w:jc w:val="both"/>
        <w:rPr>
          <w:rFonts w:eastAsia="Calibri"/>
          <w:sz w:val="20"/>
          <w:szCs w:val="20"/>
        </w:rPr>
      </w:pPr>
      <w:r w:rsidRPr="001C0235">
        <w:rPr>
          <w:rFonts w:eastAsia="Calibri"/>
          <w:sz w:val="20"/>
          <w:szCs w:val="20"/>
        </w:rPr>
        <w:t>Mediante programas sociales efectivos dirigidos a grupos vulnerables</w:t>
      </w:r>
      <w:r>
        <w:rPr>
          <w:rFonts w:eastAsia="Calibri"/>
          <w:sz w:val="20"/>
          <w:szCs w:val="20"/>
        </w:rPr>
        <w:t xml:space="preserve"> </w:t>
      </w:r>
      <w:r w:rsidRPr="001C0235">
        <w:rPr>
          <w:rFonts w:eastAsia="Calibri"/>
          <w:sz w:val="20"/>
          <w:szCs w:val="20"/>
        </w:rPr>
        <w:t xml:space="preserve">incluyendo mujeres, personas con discapacidad, adultos mayores y </w:t>
      </w:r>
      <w:r w:rsidR="009A6A8E" w:rsidRPr="001C0235">
        <w:rPr>
          <w:rFonts w:eastAsia="Calibri"/>
          <w:sz w:val="20"/>
          <w:szCs w:val="20"/>
        </w:rPr>
        <w:t>pueblos originarios</w:t>
      </w:r>
      <w:r w:rsidR="009D4CA4">
        <w:rPr>
          <w:rFonts w:eastAsia="Calibri"/>
          <w:sz w:val="20"/>
          <w:szCs w:val="20"/>
        </w:rPr>
        <w:t>,</w:t>
      </w:r>
      <w:r>
        <w:rPr>
          <w:rFonts w:eastAsia="Calibri"/>
          <w:sz w:val="20"/>
          <w:szCs w:val="20"/>
        </w:rPr>
        <w:t xml:space="preserve"> </w:t>
      </w:r>
      <w:r w:rsidRPr="001C0235">
        <w:rPr>
          <w:rFonts w:eastAsia="Calibri"/>
          <w:sz w:val="20"/>
          <w:szCs w:val="20"/>
        </w:rPr>
        <w:t>se busca garantizar el bienestar y la inclusión de estas comunidades en el desarrollo estatal. Además, se prioriza una mayor y mejor seguridad pública, enfocándose en el equipamiento, capacitación y profesionalización de los elementos de los diversos cuerpos de seguridad, asegurando así un entorno más seguro para todos los ciudadanos.</w:t>
      </w:r>
    </w:p>
    <w:p w14:paraId="21B963F8" w14:textId="77777777" w:rsidR="001C0235" w:rsidRPr="00A440FD" w:rsidRDefault="001C0235" w:rsidP="00F241C2">
      <w:pPr>
        <w:spacing w:line="360" w:lineRule="auto"/>
        <w:jc w:val="both"/>
        <w:rPr>
          <w:rFonts w:eastAsia="Calibri"/>
          <w:sz w:val="20"/>
          <w:szCs w:val="20"/>
        </w:rPr>
      </w:pPr>
    </w:p>
    <w:p w14:paraId="56CE6CAD" w14:textId="188263BF" w:rsidR="001C0235" w:rsidRDefault="001C0235" w:rsidP="00F241C2">
      <w:pPr>
        <w:spacing w:line="360" w:lineRule="auto"/>
        <w:jc w:val="both"/>
        <w:rPr>
          <w:rFonts w:eastAsia="Calibri"/>
          <w:sz w:val="20"/>
          <w:szCs w:val="20"/>
        </w:rPr>
      </w:pPr>
      <w:r w:rsidRPr="001C0235">
        <w:rPr>
          <w:rFonts w:eastAsia="Calibri"/>
          <w:sz w:val="20"/>
          <w:szCs w:val="20"/>
        </w:rPr>
        <w:t xml:space="preserve">En este contexto, el Gobierno Federal ha implementado diversas acciones para mitigar los impactos económicos y financieros provocados por el complejo entorno global y los riesgos geopolíticos en aumento. Siguiendo un enfoque </w:t>
      </w:r>
      <w:r w:rsidR="009A6A8E">
        <w:rPr>
          <w:rFonts w:eastAsia="Calibri"/>
          <w:sz w:val="20"/>
          <w:szCs w:val="20"/>
        </w:rPr>
        <w:t>F</w:t>
      </w:r>
      <w:r w:rsidRPr="001C0235">
        <w:rPr>
          <w:rFonts w:eastAsia="Calibri"/>
          <w:sz w:val="20"/>
          <w:szCs w:val="20"/>
        </w:rPr>
        <w:t>ederal, se consideran tres pilares fundamentales:</w:t>
      </w:r>
      <w:r>
        <w:rPr>
          <w:rFonts w:eastAsia="Calibri"/>
          <w:sz w:val="20"/>
          <w:szCs w:val="20"/>
        </w:rPr>
        <w:t xml:space="preserve"> </w:t>
      </w:r>
      <w:r w:rsidRPr="001C0235">
        <w:rPr>
          <w:rFonts w:eastAsia="Calibri"/>
          <w:sz w:val="20"/>
          <w:szCs w:val="20"/>
        </w:rPr>
        <w:t xml:space="preserve">1. Los apoyos </w:t>
      </w:r>
      <w:r w:rsidRPr="001C0235">
        <w:rPr>
          <w:rFonts w:eastAsia="Calibri"/>
          <w:sz w:val="20"/>
          <w:szCs w:val="20"/>
        </w:rPr>
        <w:lastRenderedPageBreak/>
        <w:t>sociales para el bienestar 2. La estabilidad y solidez de las finanzas públicas y 3. El apoyo a proyectos</w:t>
      </w:r>
      <w:r>
        <w:rPr>
          <w:rFonts w:eastAsia="Calibri"/>
          <w:sz w:val="20"/>
          <w:szCs w:val="20"/>
        </w:rPr>
        <w:t xml:space="preserve"> regionales.</w:t>
      </w:r>
    </w:p>
    <w:p w14:paraId="1375B29E" w14:textId="77777777" w:rsidR="001C0235" w:rsidRPr="00A440FD" w:rsidRDefault="001C0235" w:rsidP="00F241C2">
      <w:pPr>
        <w:spacing w:line="360" w:lineRule="auto"/>
        <w:jc w:val="both"/>
        <w:rPr>
          <w:rFonts w:eastAsia="Calibri"/>
          <w:sz w:val="20"/>
          <w:szCs w:val="20"/>
        </w:rPr>
      </w:pPr>
    </w:p>
    <w:p w14:paraId="71BD5E11" w14:textId="100EE28D" w:rsidR="001C0235" w:rsidRPr="001C0235" w:rsidRDefault="001C0235" w:rsidP="00F241C2">
      <w:pPr>
        <w:spacing w:line="360" w:lineRule="auto"/>
        <w:jc w:val="both"/>
        <w:rPr>
          <w:rFonts w:eastAsia="Calibri"/>
          <w:sz w:val="20"/>
          <w:szCs w:val="20"/>
          <w:highlight w:val="yellow"/>
        </w:rPr>
      </w:pPr>
      <w:r w:rsidRPr="001C0235">
        <w:rPr>
          <w:rFonts w:eastAsia="Calibri"/>
          <w:sz w:val="20"/>
          <w:szCs w:val="20"/>
        </w:rPr>
        <w:t>En razón a lo anterior, el Paquete Económico 202</w:t>
      </w:r>
      <w:r>
        <w:rPr>
          <w:rFonts w:eastAsia="Calibri"/>
          <w:sz w:val="20"/>
          <w:szCs w:val="20"/>
        </w:rPr>
        <w:t>5</w:t>
      </w:r>
      <w:r w:rsidRPr="001C0235">
        <w:rPr>
          <w:rFonts w:eastAsia="Calibri"/>
          <w:sz w:val="20"/>
          <w:szCs w:val="20"/>
        </w:rPr>
        <w:t xml:space="preserve"> tiene como objetivo principal generar bienestar para la población. Este enfoque se dirige hacia el crecimiento económico, fundamentado en una disciplina fiscal que prioriza el fortalecimiento de la salud y la educación como pilares fundamentales del desarrollo social.</w:t>
      </w:r>
    </w:p>
    <w:p w14:paraId="62ED60A7" w14:textId="77777777" w:rsidR="00F241C2" w:rsidRPr="001C0235" w:rsidRDefault="00F241C2" w:rsidP="00F241C2">
      <w:pPr>
        <w:spacing w:line="360" w:lineRule="auto"/>
        <w:jc w:val="both"/>
        <w:rPr>
          <w:rFonts w:eastAsia="Calibri"/>
          <w:sz w:val="20"/>
          <w:szCs w:val="20"/>
          <w:highlight w:val="yellow"/>
        </w:rPr>
      </w:pPr>
    </w:p>
    <w:p w14:paraId="27961C88" w14:textId="705A8F5B" w:rsidR="00F241C2" w:rsidRPr="00AD0612" w:rsidRDefault="001C0235" w:rsidP="00F241C2">
      <w:pPr>
        <w:spacing w:line="360" w:lineRule="auto"/>
        <w:jc w:val="both"/>
        <w:rPr>
          <w:rFonts w:eastAsia="Calibri"/>
          <w:sz w:val="20"/>
          <w:szCs w:val="20"/>
        </w:rPr>
      </w:pPr>
      <w:r w:rsidRPr="00AD0612">
        <w:rPr>
          <w:rFonts w:eastAsia="Calibri"/>
          <w:sz w:val="20"/>
          <w:szCs w:val="20"/>
        </w:rPr>
        <w:t>Asimismo, los Criterios Generales de Política Económica (CGPE) para la Iniciativa de la Ley de Ingresos y el Proyecto de Presupuesto de Eg</w:t>
      </w:r>
      <w:r w:rsidR="009A6A8E">
        <w:rPr>
          <w:rFonts w:eastAsia="Calibri"/>
          <w:sz w:val="20"/>
          <w:szCs w:val="20"/>
        </w:rPr>
        <w:t>resos de la Federación para el Ejercicio F</w:t>
      </w:r>
      <w:r w:rsidRPr="00AD0612">
        <w:rPr>
          <w:rFonts w:eastAsia="Calibri"/>
          <w:sz w:val="20"/>
          <w:szCs w:val="20"/>
        </w:rPr>
        <w:t>iscal 2025 proporcionan un análisis exhaustivo de las estrategias adoptadas en años anteriores, permitiendo identificar aciertos y áreas de mejora,</w:t>
      </w:r>
      <w:r w:rsidR="00AD0612" w:rsidRPr="00AD0612">
        <w:rPr>
          <w:rFonts w:eastAsia="Calibri"/>
          <w:sz w:val="20"/>
          <w:szCs w:val="20"/>
        </w:rPr>
        <w:t xml:space="preserve"> se reconocen los desafíos que aún se deben superar para alcanzar los objetivos planteados, tales como la reducción de la pobreza, la mejora en la calidad de los servicios públicos, y la creación de empleos dignos</w:t>
      </w:r>
      <w:r w:rsidR="00AD0612">
        <w:rPr>
          <w:rFonts w:eastAsia="Calibri"/>
          <w:sz w:val="20"/>
          <w:szCs w:val="20"/>
        </w:rPr>
        <w:t xml:space="preserve">, </w:t>
      </w:r>
      <w:r w:rsidR="00AD0612" w:rsidRPr="00AD0612">
        <w:rPr>
          <w:rFonts w:eastAsia="Calibri"/>
          <w:sz w:val="20"/>
          <w:szCs w:val="20"/>
        </w:rPr>
        <w:t>acciones concretas que se implementarán para enfrentar los retos identificados y mejorar los resultados en las áreas de salud, educación y bienestar general de la población.</w:t>
      </w:r>
    </w:p>
    <w:p w14:paraId="50C99568" w14:textId="60758514" w:rsidR="001C0235" w:rsidRPr="00AD0612" w:rsidRDefault="001C0235" w:rsidP="00F241C2">
      <w:pPr>
        <w:spacing w:line="360" w:lineRule="auto"/>
        <w:jc w:val="both"/>
        <w:rPr>
          <w:rFonts w:eastAsia="Calibri"/>
          <w:sz w:val="20"/>
          <w:szCs w:val="20"/>
        </w:rPr>
      </w:pPr>
    </w:p>
    <w:p w14:paraId="60116AD5" w14:textId="3A8E8864" w:rsidR="00F241C2" w:rsidRPr="00435411" w:rsidRDefault="00F241C2" w:rsidP="00F241C2">
      <w:pPr>
        <w:spacing w:line="360" w:lineRule="auto"/>
        <w:ind w:left="-11"/>
        <w:jc w:val="both"/>
        <w:rPr>
          <w:sz w:val="20"/>
          <w:szCs w:val="20"/>
        </w:rPr>
      </w:pPr>
      <w:r w:rsidRPr="00435411">
        <w:rPr>
          <w:sz w:val="20"/>
          <w:szCs w:val="20"/>
        </w:rPr>
        <w:t xml:space="preserve">La integración del </w:t>
      </w:r>
      <w:r w:rsidRPr="00435411">
        <w:rPr>
          <w:rFonts w:eastAsia="Calibri"/>
          <w:sz w:val="20"/>
          <w:szCs w:val="20"/>
        </w:rPr>
        <w:t>Proyecto de Decreto de Presupuesto de Egresos del Estado de Tlaxca</w:t>
      </w:r>
      <w:r w:rsidR="000536DC">
        <w:rPr>
          <w:rFonts w:eastAsia="Calibri"/>
          <w:sz w:val="20"/>
          <w:szCs w:val="20"/>
        </w:rPr>
        <w:t>la para el Ejercicio Fiscal 2025</w:t>
      </w:r>
      <w:r w:rsidRPr="00435411">
        <w:rPr>
          <w:rFonts w:eastAsia="Calibri"/>
          <w:sz w:val="20"/>
          <w:szCs w:val="20"/>
        </w:rPr>
        <w:t xml:space="preserve">, </w:t>
      </w:r>
      <w:r w:rsidRPr="00435411">
        <w:rPr>
          <w:sz w:val="20"/>
          <w:szCs w:val="20"/>
        </w:rPr>
        <w:t xml:space="preserve">atiende el principio de equilibrio presupuestal entre los ingresos y egresos, tomando en cuenta los </w:t>
      </w:r>
      <w:r w:rsidR="00435411" w:rsidRPr="00435411">
        <w:rPr>
          <w:rFonts w:eastAsia="Calibri"/>
          <w:sz w:val="20"/>
          <w:szCs w:val="20"/>
        </w:rPr>
        <w:t xml:space="preserve">Pre-Criterios 2025 </w:t>
      </w:r>
      <w:r w:rsidRPr="00435411">
        <w:rPr>
          <w:sz w:val="20"/>
          <w:szCs w:val="20"/>
        </w:rPr>
        <w:t xml:space="preserve">presentados por el Gobierno Federal, los cuales prevén un crecimiento real </w:t>
      </w:r>
      <w:r w:rsidRPr="00435411">
        <w:rPr>
          <w:rFonts w:eastAsia="Calibri"/>
          <w:sz w:val="20"/>
          <w:szCs w:val="20"/>
        </w:rPr>
        <w:t>anual del PIB en 202</w:t>
      </w:r>
      <w:r w:rsidR="00435411" w:rsidRPr="00435411">
        <w:rPr>
          <w:rFonts w:eastAsia="Calibri"/>
          <w:sz w:val="20"/>
          <w:szCs w:val="20"/>
        </w:rPr>
        <w:t>5</w:t>
      </w:r>
      <w:r w:rsidRPr="00435411">
        <w:rPr>
          <w:rFonts w:eastAsia="Calibri"/>
          <w:sz w:val="20"/>
          <w:szCs w:val="20"/>
        </w:rPr>
        <w:t xml:space="preserve"> en un rango de 2 a 3%.</w:t>
      </w:r>
    </w:p>
    <w:p w14:paraId="173C645E" w14:textId="77777777" w:rsidR="00F241C2" w:rsidRPr="00EB5370" w:rsidRDefault="00F241C2" w:rsidP="00F241C2">
      <w:pPr>
        <w:spacing w:line="360" w:lineRule="auto"/>
        <w:ind w:left="-11"/>
        <w:jc w:val="both"/>
        <w:rPr>
          <w:sz w:val="20"/>
          <w:szCs w:val="20"/>
          <w:highlight w:val="yellow"/>
        </w:rPr>
      </w:pPr>
    </w:p>
    <w:p w14:paraId="6083B74F" w14:textId="4C14F260" w:rsidR="00F241C2" w:rsidRDefault="00435411" w:rsidP="00F241C2">
      <w:pPr>
        <w:spacing w:line="360" w:lineRule="auto"/>
        <w:ind w:left="-11"/>
        <w:jc w:val="both"/>
        <w:rPr>
          <w:sz w:val="20"/>
          <w:szCs w:val="20"/>
        </w:rPr>
      </w:pPr>
      <w:r w:rsidRPr="00435411">
        <w:rPr>
          <w:sz w:val="20"/>
          <w:szCs w:val="20"/>
        </w:rPr>
        <w:t>En cumplimiento de la Ley General de Contabilidad Gubernamental, la Ley Federal de Presupuesto y Responsabilidad Hacendaria, la Ley de Coordinación Fiscal, la Ley Federal de Transparencia y Acceso a la Información Pública, la Ley de Disciplina Financiera de las Entidades Federativas y los Municipios, y conforme a las políticas públicas vigentes, se ha diseñado el Proyecto de Presupuesto de Egresos del Estado de Tlaxcala para el Ejercicio Fiscal 202</w:t>
      </w:r>
      <w:r>
        <w:rPr>
          <w:sz w:val="20"/>
          <w:szCs w:val="20"/>
        </w:rPr>
        <w:t>5</w:t>
      </w:r>
      <w:r w:rsidR="00F241C2" w:rsidRPr="00435411">
        <w:rPr>
          <w:sz w:val="20"/>
          <w:szCs w:val="20"/>
        </w:rPr>
        <w:t>, mediante el modelo de Presupuesto basado en Resultados (</w:t>
      </w:r>
      <w:proofErr w:type="spellStart"/>
      <w:r w:rsidR="00F241C2" w:rsidRPr="00435411">
        <w:rPr>
          <w:sz w:val="20"/>
          <w:szCs w:val="20"/>
        </w:rPr>
        <w:t>PbR</w:t>
      </w:r>
      <w:proofErr w:type="spellEnd"/>
      <w:r w:rsidR="00F241C2" w:rsidRPr="00435411">
        <w:rPr>
          <w:sz w:val="20"/>
          <w:szCs w:val="20"/>
        </w:rPr>
        <w:t xml:space="preserve">) y el Sistema de Evaluación del Desempeño (SED), </w:t>
      </w:r>
      <w:r w:rsidRPr="00435411">
        <w:rPr>
          <w:sz w:val="20"/>
          <w:szCs w:val="20"/>
        </w:rPr>
        <w:t>para asegurar que en el corto y mediano plazo se ejecuten programas y proyectos destinados a mejorar los servicios públicos y beneficiar a la población.</w:t>
      </w:r>
    </w:p>
    <w:p w14:paraId="5AA31E52" w14:textId="35D22305" w:rsidR="00435411" w:rsidRDefault="00435411" w:rsidP="00F241C2">
      <w:pPr>
        <w:spacing w:line="360" w:lineRule="auto"/>
        <w:ind w:left="-11"/>
        <w:jc w:val="both"/>
        <w:rPr>
          <w:sz w:val="20"/>
          <w:szCs w:val="20"/>
          <w:highlight w:val="yellow"/>
        </w:rPr>
      </w:pPr>
    </w:p>
    <w:p w14:paraId="2E9954F6" w14:textId="3D639FD2" w:rsidR="00F241C2" w:rsidRDefault="007E01DC" w:rsidP="007E01DC">
      <w:pPr>
        <w:spacing w:line="360" w:lineRule="auto"/>
        <w:ind w:left="-11"/>
        <w:jc w:val="both"/>
        <w:rPr>
          <w:sz w:val="20"/>
          <w:szCs w:val="20"/>
        </w:rPr>
      </w:pPr>
      <w:r w:rsidRPr="007E01DC">
        <w:rPr>
          <w:sz w:val="20"/>
          <w:szCs w:val="20"/>
        </w:rPr>
        <w:t>El Proyecto de Decreto de Presupuesto de Egresos del Estado de Tlaxcala para el Ejercicio Fiscal 202</w:t>
      </w:r>
      <w:r>
        <w:rPr>
          <w:sz w:val="20"/>
          <w:szCs w:val="20"/>
        </w:rPr>
        <w:t>5</w:t>
      </w:r>
      <w:r w:rsidRPr="007E01DC">
        <w:rPr>
          <w:sz w:val="20"/>
          <w:szCs w:val="20"/>
        </w:rPr>
        <w:t xml:space="preserve">, sometido a la consideración de esta Legislatura, se ha estructurado conforme a la Clasificación Administrativa, Clasificación Funcional del Gasto, Clasificación Programática, Clasificador por Tipo </w:t>
      </w:r>
      <w:r w:rsidRPr="007E01DC">
        <w:rPr>
          <w:sz w:val="20"/>
          <w:szCs w:val="20"/>
        </w:rPr>
        <w:lastRenderedPageBreak/>
        <w:t>de Gasto, Clasificador por Objeto del Gasto y Clasificador por Fuentes de Financiamiento. Este proyecto se ajusta también a la norma para armonizar la presentación de la información adicional, aprobada por el Consejo Nacional de Armonización Contable (CONAC). Asimismo, para cumplir con la Ley de Disciplina Financiera de las Entidades Federativas y los Municipios, se anexan los formatos de información presupuestal, de pensiones y de personal requeridos en el artículo 5 de dicha ley.</w:t>
      </w:r>
    </w:p>
    <w:p w14:paraId="31F6FF1A" w14:textId="77777777" w:rsidR="007E01DC" w:rsidRPr="00EB5370" w:rsidRDefault="007E01DC" w:rsidP="007E01DC">
      <w:pPr>
        <w:spacing w:line="360" w:lineRule="auto"/>
        <w:ind w:left="-11"/>
        <w:jc w:val="both"/>
        <w:rPr>
          <w:sz w:val="20"/>
          <w:szCs w:val="20"/>
          <w:highlight w:val="yellow"/>
        </w:rPr>
      </w:pPr>
    </w:p>
    <w:p w14:paraId="4FA4753B" w14:textId="2FDB57F1" w:rsidR="00F241C2" w:rsidRDefault="007E01DC" w:rsidP="00F241C2">
      <w:pPr>
        <w:spacing w:line="360" w:lineRule="auto"/>
        <w:ind w:left="-11"/>
        <w:jc w:val="both"/>
        <w:rPr>
          <w:sz w:val="20"/>
          <w:szCs w:val="20"/>
        </w:rPr>
      </w:pPr>
      <w:r w:rsidRPr="007E01DC">
        <w:rPr>
          <w:sz w:val="20"/>
          <w:szCs w:val="20"/>
        </w:rPr>
        <w:t>El Proyecto de Decreto de Presupuesto de Egresos del Estado de Tlaxcala para el Ejercicio Fiscal 202</w:t>
      </w:r>
      <w:r>
        <w:rPr>
          <w:sz w:val="20"/>
          <w:szCs w:val="20"/>
        </w:rPr>
        <w:t>5</w:t>
      </w:r>
      <w:r w:rsidRPr="007E01DC">
        <w:rPr>
          <w:sz w:val="20"/>
          <w:szCs w:val="20"/>
        </w:rPr>
        <w:t xml:space="preserve"> prioriza objetivos clave, como mejorar la seguridad pública; fortalecer el sistema de salud para apoyar a los grupos más vulnerables; combatir la violencia, la impunidad y la corrupción; impulsar el crecimiento y la capacidad productiva; fomentar la creación de empleos dignos; mejorar la calidad y gestión del sistema educativo; y proteger el medio ambiente, en particular los recursos hídricos y forestales, bajo un enfoque sustentable. Además, se promueve la equidad de género y el fortalecimiento de la identidad histórica y cultural de las comunidades indígenas y originarias.</w:t>
      </w:r>
    </w:p>
    <w:p w14:paraId="284DE1EE" w14:textId="77777777" w:rsidR="007E01DC" w:rsidRPr="00EB5370" w:rsidRDefault="007E01DC" w:rsidP="00F241C2">
      <w:pPr>
        <w:spacing w:line="360" w:lineRule="auto"/>
        <w:ind w:left="-11"/>
        <w:jc w:val="both"/>
        <w:rPr>
          <w:sz w:val="20"/>
          <w:szCs w:val="20"/>
          <w:highlight w:val="yellow"/>
        </w:rPr>
      </w:pPr>
    </w:p>
    <w:p w14:paraId="11DE4C4F" w14:textId="35DC324A" w:rsidR="00F241C2" w:rsidRDefault="007E01DC" w:rsidP="00F241C2">
      <w:pPr>
        <w:spacing w:line="360" w:lineRule="auto"/>
        <w:ind w:left="-11"/>
        <w:jc w:val="both"/>
        <w:rPr>
          <w:sz w:val="20"/>
          <w:szCs w:val="20"/>
        </w:rPr>
      </w:pPr>
      <w:r w:rsidRPr="007E01DC">
        <w:rPr>
          <w:sz w:val="20"/>
          <w:szCs w:val="20"/>
        </w:rPr>
        <w:t>Las estrategias de la Administración Pública Estatal se fundamentan en un uso racional y austero de los recursos en las dependencias y entidades, buscando estructurar de manera eficiente y eficaz la prestación de servicios a la sociedad.</w:t>
      </w:r>
    </w:p>
    <w:p w14:paraId="5B82097D" w14:textId="77777777" w:rsidR="007E01DC" w:rsidRPr="00EB5370" w:rsidRDefault="007E01DC" w:rsidP="00F241C2">
      <w:pPr>
        <w:spacing w:line="360" w:lineRule="auto"/>
        <w:ind w:left="-11"/>
        <w:jc w:val="both"/>
        <w:rPr>
          <w:color w:val="FF0000"/>
          <w:sz w:val="20"/>
          <w:szCs w:val="20"/>
          <w:highlight w:val="yellow"/>
        </w:rPr>
      </w:pPr>
    </w:p>
    <w:p w14:paraId="24A33AB6" w14:textId="77777777" w:rsidR="009C37B3" w:rsidRPr="00FD723E" w:rsidRDefault="009C37B3" w:rsidP="00D50246">
      <w:pPr>
        <w:pStyle w:val="Prrafodelista"/>
        <w:numPr>
          <w:ilvl w:val="0"/>
          <w:numId w:val="4"/>
        </w:numPr>
        <w:spacing w:line="360" w:lineRule="auto"/>
        <w:jc w:val="both"/>
        <w:rPr>
          <w:rFonts w:eastAsia="Calibri"/>
          <w:b/>
          <w:color w:val="000000" w:themeColor="text1"/>
          <w:sz w:val="20"/>
          <w:szCs w:val="20"/>
        </w:rPr>
      </w:pPr>
      <w:r w:rsidRPr="00FD723E">
        <w:rPr>
          <w:rFonts w:eastAsia="Calibri"/>
          <w:b/>
          <w:color w:val="000000" w:themeColor="text1"/>
          <w:sz w:val="20"/>
          <w:szCs w:val="20"/>
        </w:rPr>
        <w:t>ENTORNO INTERNACIONAL</w:t>
      </w:r>
    </w:p>
    <w:p w14:paraId="78148449" w14:textId="77777777" w:rsidR="009C37B3" w:rsidRPr="00EB5370" w:rsidRDefault="009C37B3" w:rsidP="009C37B3">
      <w:pPr>
        <w:spacing w:line="360" w:lineRule="auto"/>
        <w:jc w:val="both"/>
        <w:rPr>
          <w:iCs/>
          <w:color w:val="FF0000"/>
          <w:sz w:val="20"/>
          <w:szCs w:val="20"/>
          <w:highlight w:val="yellow"/>
        </w:rPr>
      </w:pPr>
    </w:p>
    <w:p w14:paraId="5C704A52" w14:textId="3C192F42" w:rsidR="0072337C" w:rsidRDefault="0072337C" w:rsidP="00B15E27">
      <w:pPr>
        <w:spacing w:line="360" w:lineRule="auto"/>
        <w:jc w:val="both"/>
        <w:rPr>
          <w:iCs/>
          <w:color w:val="000000" w:themeColor="text1"/>
          <w:sz w:val="20"/>
          <w:szCs w:val="20"/>
        </w:rPr>
      </w:pPr>
      <w:r w:rsidRPr="0072337C">
        <w:rPr>
          <w:iCs/>
          <w:color w:val="000000" w:themeColor="text1"/>
          <w:sz w:val="20"/>
          <w:szCs w:val="20"/>
        </w:rPr>
        <w:t>La economía mundial continuó dando muestras de inusitada resiliencia a lo largo del proceso</w:t>
      </w:r>
      <w:r>
        <w:rPr>
          <w:iCs/>
          <w:color w:val="000000" w:themeColor="text1"/>
          <w:sz w:val="20"/>
          <w:szCs w:val="20"/>
        </w:rPr>
        <w:t xml:space="preserve"> </w:t>
      </w:r>
      <w:proofErr w:type="spellStart"/>
      <w:r w:rsidRPr="0072337C">
        <w:rPr>
          <w:iCs/>
          <w:color w:val="000000" w:themeColor="text1"/>
          <w:sz w:val="20"/>
          <w:szCs w:val="20"/>
        </w:rPr>
        <w:t>desinflacionario</w:t>
      </w:r>
      <w:proofErr w:type="spellEnd"/>
      <w:r w:rsidRPr="0072337C">
        <w:rPr>
          <w:iCs/>
          <w:color w:val="000000" w:themeColor="text1"/>
          <w:sz w:val="20"/>
          <w:szCs w:val="20"/>
        </w:rPr>
        <w:t>. Se prevé que el crecimiento se mantenga estable en el 3</w:t>
      </w:r>
      <w:r w:rsidR="00A4475A">
        <w:rPr>
          <w:iCs/>
          <w:color w:val="000000" w:themeColor="text1"/>
          <w:sz w:val="20"/>
          <w:szCs w:val="20"/>
        </w:rPr>
        <w:t>.</w:t>
      </w:r>
      <w:r w:rsidRPr="0072337C">
        <w:rPr>
          <w:iCs/>
          <w:color w:val="000000" w:themeColor="text1"/>
          <w:sz w:val="20"/>
          <w:szCs w:val="20"/>
        </w:rPr>
        <w:t>2% en 2024 y 2025, pero en algunas economías de ingreso bajo y en desarrollo el crecimiento ha sufrido marcadas revisiones a la baja</w:t>
      </w:r>
      <w:r>
        <w:rPr>
          <w:iCs/>
          <w:color w:val="000000" w:themeColor="text1"/>
          <w:sz w:val="20"/>
          <w:szCs w:val="20"/>
        </w:rPr>
        <w:t xml:space="preserve"> t</w:t>
      </w:r>
      <w:r w:rsidRPr="0072337C">
        <w:rPr>
          <w:iCs/>
          <w:color w:val="000000" w:themeColor="text1"/>
          <w:sz w:val="20"/>
          <w:szCs w:val="20"/>
        </w:rPr>
        <w:t>ras alcanzar un máximo del 9</w:t>
      </w:r>
      <w:r w:rsidR="00A4475A">
        <w:rPr>
          <w:iCs/>
          <w:color w:val="000000" w:themeColor="text1"/>
          <w:sz w:val="20"/>
          <w:szCs w:val="20"/>
        </w:rPr>
        <w:t>.</w:t>
      </w:r>
      <w:r w:rsidRPr="0072337C">
        <w:rPr>
          <w:iCs/>
          <w:color w:val="000000" w:themeColor="text1"/>
          <w:sz w:val="20"/>
          <w:szCs w:val="20"/>
        </w:rPr>
        <w:t xml:space="preserve">4% interanual en el tercer trimestre de 2022, ahora </w:t>
      </w:r>
      <w:r>
        <w:rPr>
          <w:iCs/>
          <w:color w:val="000000" w:themeColor="text1"/>
          <w:sz w:val="20"/>
          <w:szCs w:val="20"/>
        </w:rPr>
        <w:t xml:space="preserve">se </w:t>
      </w:r>
      <w:r w:rsidRPr="0072337C">
        <w:rPr>
          <w:iCs/>
          <w:color w:val="000000" w:themeColor="text1"/>
          <w:sz w:val="20"/>
          <w:szCs w:val="20"/>
        </w:rPr>
        <w:t>proyecta que la inflación general disminuya hasta situarse en el 3</w:t>
      </w:r>
      <w:r w:rsidR="00A4475A">
        <w:rPr>
          <w:iCs/>
          <w:color w:val="000000" w:themeColor="text1"/>
          <w:sz w:val="20"/>
          <w:szCs w:val="20"/>
        </w:rPr>
        <w:t>.</w:t>
      </w:r>
      <w:r w:rsidRPr="0072337C">
        <w:rPr>
          <w:iCs/>
          <w:color w:val="000000" w:themeColor="text1"/>
          <w:sz w:val="20"/>
          <w:szCs w:val="20"/>
        </w:rPr>
        <w:t>5% para el final del año que viene, ligeramente por debajo del promedio de las dos décadas anteriores a la pandemia. En la mayoría de los países, la inflación ronda las metas de los bancos centrales</w:t>
      </w:r>
      <w:r w:rsidR="00B15E27">
        <w:rPr>
          <w:iCs/>
          <w:color w:val="000000" w:themeColor="text1"/>
          <w:sz w:val="20"/>
          <w:szCs w:val="20"/>
        </w:rPr>
        <w:t>.</w:t>
      </w:r>
    </w:p>
    <w:p w14:paraId="5D3A83FA" w14:textId="77777777" w:rsidR="009A6A8E" w:rsidRDefault="009A6A8E" w:rsidP="00B15E27">
      <w:pPr>
        <w:spacing w:line="360" w:lineRule="auto"/>
        <w:jc w:val="both"/>
        <w:rPr>
          <w:iCs/>
          <w:color w:val="000000" w:themeColor="text1"/>
          <w:sz w:val="20"/>
          <w:szCs w:val="20"/>
        </w:rPr>
      </w:pPr>
    </w:p>
    <w:p w14:paraId="45857729" w14:textId="0A440211" w:rsidR="00B15E27" w:rsidRDefault="00B15E27" w:rsidP="00B15E27">
      <w:pPr>
        <w:spacing w:line="360" w:lineRule="auto"/>
        <w:jc w:val="both"/>
        <w:rPr>
          <w:iCs/>
          <w:color w:val="000000" w:themeColor="text1"/>
          <w:sz w:val="20"/>
          <w:szCs w:val="20"/>
        </w:rPr>
      </w:pPr>
      <w:r w:rsidRPr="00B15E27">
        <w:rPr>
          <w:iCs/>
          <w:color w:val="000000" w:themeColor="text1"/>
          <w:sz w:val="20"/>
          <w:szCs w:val="20"/>
        </w:rPr>
        <w:t>La rebaja de las tasas de interés en las principales economías aliviará la presión sobre las economías de mercados emergentes, cuyas monedas se están revalorizando frente al dólar estadounidense y donde las condiciones financieras están mejorando. Esto contribuirá a reducir la inflación importada y permitirá que estos países recorran más fácilmente sus propias sendas de desinflación.</w:t>
      </w:r>
    </w:p>
    <w:p w14:paraId="6104AF07" w14:textId="77777777" w:rsidR="00BE418A" w:rsidRDefault="00BE418A" w:rsidP="00BE418A">
      <w:pPr>
        <w:spacing w:line="360" w:lineRule="auto"/>
        <w:jc w:val="both"/>
        <w:rPr>
          <w:iCs/>
          <w:color w:val="000000" w:themeColor="text1"/>
          <w:sz w:val="20"/>
          <w:szCs w:val="20"/>
        </w:rPr>
      </w:pPr>
    </w:p>
    <w:p w14:paraId="602F714D" w14:textId="77777777" w:rsidR="00BE418A" w:rsidRDefault="00BE418A" w:rsidP="00BE418A">
      <w:pPr>
        <w:spacing w:line="360" w:lineRule="auto"/>
        <w:jc w:val="both"/>
        <w:rPr>
          <w:iCs/>
          <w:color w:val="000000" w:themeColor="text1"/>
          <w:sz w:val="20"/>
          <w:szCs w:val="20"/>
        </w:rPr>
      </w:pPr>
    </w:p>
    <w:p w14:paraId="158640C8" w14:textId="443085E9" w:rsidR="00B15E27" w:rsidRDefault="00B15E27" w:rsidP="00F241C2">
      <w:pPr>
        <w:spacing w:line="360" w:lineRule="auto"/>
        <w:jc w:val="both"/>
        <w:rPr>
          <w:iCs/>
          <w:color w:val="000000" w:themeColor="text1"/>
          <w:sz w:val="20"/>
          <w:szCs w:val="20"/>
        </w:rPr>
      </w:pPr>
      <w:r w:rsidRPr="00B15E27">
        <w:rPr>
          <w:iCs/>
          <w:color w:val="000000" w:themeColor="text1"/>
          <w:sz w:val="20"/>
          <w:szCs w:val="20"/>
        </w:rPr>
        <w:lastRenderedPageBreak/>
        <w:t>Las proyecciones de crecimiento para los próximos cinco años siguen siendo poco alentadoras, con una tasa estimada de 3.1%, la más baja en décadas. Aunque en gran parte esto se debe a las perspectivas menos favorables para China, las expectativas a mediano plazo para otras regiones, como América Latina y la Unión Europea, también han empeorado.</w:t>
      </w:r>
      <w:r>
        <w:rPr>
          <w:iCs/>
          <w:color w:val="000000" w:themeColor="text1"/>
          <w:sz w:val="20"/>
          <w:szCs w:val="20"/>
        </w:rPr>
        <w:t xml:space="preserve"> </w:t>
      </w:r>
    </w:p>
    <w:p w14:paraId="2E61C6FE" w14:textId="781BDCFB" w:rsidR="00B15E27" w:rsidRDefault="00B15E27" w:rsidP="00F241C2">
      <w:pPr>
        <w:spacing w:line="360" w:lineRule="auto"/>
        <w:jc w:val="both"/>
        <w:rPr>
          <w:iCs/>
          <w:color w:val="000000" w:themeColor="text1"/>
          <w:sz w:val="20"/>
          <w:szCs w:val="20"/>
        </w:rPr>
      </w:pPr>
    </w:p>
    <w:p w14:paraId="5FF979CD" w14:textId="5D27358A" w:rsidR="00B15E27" w:rsidRDefault="006104B5" w:rsidP="00F241C2">
      <w:pPr>
        <w:spacing w:line="360" w:lineRule="auto"/>
        <w:jc w:val="both"/>
        <w:rPr>
          <w:iCs/>
          <w:color w:val="000000" w:themeColor="text1"/>
          <w:sz w:val="20"/>
          <w:szCs w:val="20"/>
        </w:rPr>
      </w:pPr>
      <w:r w:rsidRPr="006104B5">
        <w:rPr>
          <w:iCs/>
          <w:color w:val="000000" w:themeColor="text1"/>
          <w:sz w:val="20"/>
          <w:szCs w:val="20"/>
        </w:rPr>
        <w:t>Ante el aumento de la competitividad externa y las debilidades estructurales de las manufacturas y de la productividad, muchos países están poniendo en práctica medidas de política industrial y comercial destinadas a proteger a sus trabajadores y sus sectores productivos. Aunque en ocasiones estas medidas pueden estimular la inversión y la actividad a corto plazo especialmente cuando se basan en subsidios financiados mediante deuda, con frecuencia dan lugar a represalias, tienen escasas probabilidades de propiciar mejoras sostenidas del nivel de vida en el país o fuera, y deberían rechazarse de plano cuando no hayan sido cuidadosamente concebidas para corregir fallos del mercado bien identificados</w:t>
      </w:r>
      <w:r>
        <w:rPr>
          <w:iCs/>
          <w:color w:val="000000" w:themeColor="text1"/>
          <w:sz w:val="20"/>
          <w:szCs w:val="20"/>
        </w:rPr>
        <w:t>.</w:t>
      </w:r>
    </w:p>
    <w:p w14:paraId="1596A83F" w14:textId="77777777" w:rsidR="0042080F" w:rsidRDefault="0042080F" w:rsidP="0042080F">
      <w:pPr>
        <w:pStyle w:val="Default"/>
      </w:pPr>
    </w:p>
    <w:p w14:paraId="21516B0D" w14:textId="44138404" w:rsidR="0042080F" w:rsidRDefault="0042080F" w:rsidP="0042080F">
      <w:pPr>
        <w:spacing w:line="360" w:lineRule="auto"/>
        <w:jc w:val="both"/>
        <w:rPr>
          <w:iCs/>
          <w:color w:val="000000" w:themeColor="text1"/>
          <w:sz w:val="20"/>
          <w:szCs w:val="20"/>
        </w:rPr>
      </w:pPr>
      <w:r w:rsidRPr="0042080F">
        <w:rPr>
          <w:iCs/>
          <w:color w:val="000000" w:themeColor="text1"/>
          <w:sz w:val="20"/>
          <w:szCs w:val="20"/>
        </w:rPr>
        <w:t xml:space="preserve">Los elevados niveles y el rápido crecimiento de la deuda soberana continúan siendo un </w:t>
      </w:r>
      <w:r>
        <w:rPr>
          <w:iCs/>
          <w:color w:val="000000" w:themeColor="text1"/>
          <w:sz w:val="20"/>
          <w:szCs w:val="20"/>
        </w:rPr>
        <w:t xml:space="preserve">problema </w:t>
      </w:r>
      <w:r w:rsidRPr="0042080F">
        <w:rPr>
          <w:iCs/>
          <w:color w:val="000000" w:themeColor="text1"/>
          <w:sz w:val="20"/>
          <w:szCs w:val="20"/>
        </w:rPr>
        <w:t>en todo el mundo, y muchas jurisdicciones no consiguen alcanzar los saldos primarios que permiten</w:t>
      </w:r>
      <w:r>
        <w:rPr>
          <w:iCs/>
          <w:color w:val="000000" w:themeColor="text1"/>
          <w:sz w:val="20"/>
          <w:szCs w:val="20"/>
        </w:rPr>
        <w:t xml:space="preserve"> </w:t>
      </w:r>
      <w:r w:rsidRPr="0042080F">
        <w:rPr>
          <w:iCs/>
          <w:color w:val="000000" w:themeColor="text1"/>
          <w:sz w:val="20"/>
          <w:szCs w:val="20"/>
        </w:rPr>
        <w:t>estabilizar la deuda a largo plazo. En numerosas economías avanzadas, proporciones cada vez mayores de</w:t>
      </w:r>
      <w:r>
        <w:rPr>
          <w:iCs/>
          <w:color w:val="000000" w:themeColor="text1"/>
          <w:sz w:val="20"/>
          <w:szCs w:val="20"/>
        </w:rPr>
        <w:t xml:space="preserve"> </w:t>
      </w:r>
      <w:r w:rsidRPr="0042080F">
        <w:rPr>
          <w:iCs/>
          <w:color w:val="000000" w:themeColor="text1"/>
          <w:sz w:val="20"/>
          <w:szCs w:val="20"/>
        </w:rPr>
        <w:t>las emisiones de deuda pública tendrán que ser absorbidas por compradores sensibles a los precios en un</w:t>
      </w:r>
      <w:r>
        <w:rPr>
          <w:iCs/>
          <w:color w:val="000000" w:themeColor="text1"/>
          <w:sz w:val="20"/>
          <w:szCs w:val="20"/>
        </w:rPr>
        <w:t xml:space="preserve"> </w:t>
      </w:r>
      <w:r w:rsidRPr="0042080F">
        <w:rPr>
          <w:iCs/>
          <w:color w:val="000000" w:themeColor="text1"/>
          <w:sz w:val="20"/>
          <w:szCs w:val="20"/>
        </w:rPr>
        <w:t>contexto de endurecimiento cuantitativo de los balances de los bancos centrales, lo que podría</w:t>
      </w:r>
      <w:r>
        <w:rPr>
          <w:iCs/>
          <w:color w:val="000000" w:themeColor="text1"/>
          <w:sz w:val="20"/>
          <w:szCs w:val="20"/>
        </w:rPr>
        <w:t xml:space="preserve"> </w:t>
      </w:r>
      <w:r w:rsidRPr="0042080F">
        <w:rPr>
          <w:iCs/>
          <w:color w:val="000000" w:themeColor="text1"/>
          <w:sz w:val="20"/>
          <w:szCs w:val="20"/>
        </w:rPr>
        <w:t>incrementar la volatilidad en el mercado de bonos. Las economías de mercados emergentes y</w:t>
      </w:r>
      <w:r>
        <w:rPr>
          <w:iCs/>
          <w:color w:val="000000" w:themeColor="text1"/>
          <w:sz w:val="20"/>
          <w:szCs w:val="20"/>
        </w:rPr>
        <w:t xml:space="preserve"> </w:t>
      </w:r>
      <w:proofErr w:type="spellStart"/>
      <w:r w:rsidRPr="0042080F">
        <w:rPr>
          <w:iCs/>
          <w:color w:val="000000" w:themeColor="text1"/>
          <w:sz w:val="20"/>
          <w:szCs w:val="20"/>
        </w:rPr>
        <w:t>preemergentes</w:t>
      </w:r>
      <w:proofErr w:type="spellEnd"/>
      <w:r w:rsidRPr="0042080F">
        <w:rPr>
          <w:iCs/>
          <w:color w:val="000000" w:themeColor="text1"/>
          <w:sz w:val="20"/>
          <w:szCs w:val="20"/>
        </w:rPr>
        <w:t xml:space="preserve"> con un margen fiscal escaso y en deterioro han experimentado incrementos de los</w:t>
      </w:r>
      <w:r>
        <w:rPr>
          <w:iCs/>
          <w:color w:val="000000" w:themeColor="text1"/>
          <w:sz w:val="20"/>
          <w:szCs w:val="20"/>
        </w:rPr>
        <w:t xml:space="preserve"> </w:t>
      </w:r>
      <w:r w:rsidRPr="0042080F">
        <w:rPr>
          <w:iCs/>
          <w:color w:val="000000" w:themeColor="text1"/>
          <w:sz w:val="20"/>
          <w:szCs w:val="20"/>
        </w:rPr>
        <w:t>diferenciales de los bonos soberanos y de los swaps de riesgo de incumplimiento más acusados que los de</w:t>
      </w:r>
      <w:r>
        <w:rPr>
          <w:iCs/>
          <w:color w:val="000000" w:themeColor="text1"/>
          <w:sz w:val="20"/>
          <w:szCs w:val="20"/>
        </w:rPr>
        <w:t xml:space="preserve"> </w:t>
      </w:r>
      <w:r w:rsidRPr="0042080F">
        <w:rPr>
          <w:iCs/>
          <w:color w:val="000000" w:themeColor="text1"/>
          <w:sz w:val="20"/>
          <w:szCs w:val="20"/>
        </w:rPr>
        <w:t>otras jurisdicciones, lo que dificulta el servicio de su deuda.</w:t>
      </w:r>
    </w:p>
    <w:p w14:paraId="3BBC63FF" w14:textId="4554FF9C" w:rsidR="0042080F" w:rsidRDefault="0042080F" w:rsidP="0042080F">
      <w:pPr>
        <w:spacing w:line="360" w:lineRule="auto"/>
        <w:jc w:val="both"/>
        <w:rPr>
          <w:iCs/>
          <w:color w:val="000000" w:themeColor="text1"/>
          <w:sz w:val="20"/>
          <w:szCs w:val="20"/>
        </w:rPr>
      </w:pPr>
    </w:p>
    <w:p w14:paraId="30B885BC" w14:textId="77777777" w:rsidR="0042080F" w:rsidRDefault="0042080F" w:rsidP="0042080F">
      <w:pPr>
        <w:spacing w:line="360" w:lineRule="auto"/>
        <w:jc w:val="both"/>
        <w:rPr>
          <w:iCs/>
          <w:color w:val="000000" w:themeColor="text1"/>
          <w:sz w:val="20"/>
          <w:szCs w:val="20"/>
        </w:rPr>
      </w:pPr>
      <w:r w:rsidRPr="0042080F">
        <w:rPr>
          <w:iCs/>
          <w:color w:val="000000" w:themeColor="text1"/>
          <w:sz w:val="20"/>
          <w:szCs w:val="20"/>
        </w:rPr>
        <w:t xml:space="preserve">Los bancos centrales han mantenido su atención centrada en las condiciones económicas y de inflación internas para fijar su política monetaria y han recurrido a ajustes de los tipos de cambio para mitigar los factores adversos externos. Ahora que las principales economías avanzadas van a relajar su política monetaria, la presión sobre los mercados emergentes podría moderarse en el corto plazo. Más adelante, sin embargo, la fuerte incertidumbre acerca de las políticas comerciales y la situación geopolítica, sumadas a las perspectivas de desaceleración del crecimiento en China, que es un socio comercial clave para muchos mercados emergentes, podrían dificultar la tarea de mantener la estabilidad financiera en los mercados emergentes. Los flujos de cartera pueden volverse más volátiles y el acceso a financiamiento internacional puede complicarse, sobre todo para las economías </w:t>
      </w:r>
      <w:proofErr w:type="spellStart"/>
      <w:r w:rsidRPr="0042080F">
        <w:rPr>
          <w:iCs/>
          <w:color w:val="000000" w:themeColor="text1"/>
          <w:sz w:val="20"/>
          <w:szCs w:val="20"/>
        </w:rPr>
        <w:t>preemergentes</w:t>
      </w:r>
      <w:proofErr w:type="spellEnd"/>
      <w:r w:rsidRPr="0042080F">
        <w:rPr>
          <w:iCs/>
          <w:color w:val="000000" w:themeColor="text1"/>
          <w:sz w:val="20"/>
          <w:szCs w:val="20"/>
        </w:rPr>
        <w:t xml:space="preserve">. De hecho, los efectos de contagio de las tasas de interés de las economías avanzadas a los mercados emergentes han aumentado durante la última década, ya que las variaciones de la prima por plazo </w:t>
      </w:r>
      <w:r w:rsidRPr="0042080F">
        <w:rPr>
          <w:iCs/>
          <w:color w:val="000000" w:themeColor="text1"/>
          <w:sz w:val="20"/>
          <w:szCs w:val="20"/>
        </w:rPr>
        <w:lastRenderedPageBreak/>
        <w:t>estadounidense a 10 años (la prima de riesgo que los inversionistas exigen para tener en cartera valores a más largo plazo) han sido la causa de una proporción cada vez mayor de las variaciones de las primas por plazo de los bonos a 10 años de mercados emergentes</w:t>
      </w:r>
      <w:r>
        <w:rPr>
          <w:iCs/>
          <w:color w:val="000000" w:themeColor="text1"/>
          <w:sz w:val="20"/>
          <w:szCs w:val="20"/>
        </w:rPr>
        <w:t>.</w:t>
      </w:r>
    </w:p>
    <w:p w14:paraId="46B22298" w14:textId="77777777" w:rsidR="0042080F" w:rsidRDefault="0042080F" w:rsidP="0042080F">
      <w:pPr>
        <w:spacing w:line="360" w:lineRule="auto"/>
        <w:jc w:val="both"/>
        <w:rPr>
          <w:iCs/>
          <w:color w:val="000000" w:themeColor="text1"/>
          <w:sz w:val="20"/>
          <w:szCs w:val="20"/>
        </w:rPr>
      </w:pPr>
    </w:p>
    <w:p w14:paraId="68DED292" w14:textId="33970192" w:rsidR="0042080F" w:rsidRDefault="0042080F" w:rsidP="0042080F">
      <w:pPr>
        <w:spacing w:line="360" w:lineRule="auto"/>
        <w:jc w:val="both"/>
        <w:rPr>
          <w:iCs/>
          <w:color w:val="000000" w:themeColor="text1"/>
          <w:sz w:val="20"/>
          <w:szCs w:val="20"/>
        </w:rPr>
      </w:pPr>
      <w:r w:rsidRPr="0042080F">
        <w:rPr>
          <w:iCs/>
          <w:color w:val="000000" w:themeColor="text1"/>
          <w:sz w:val="20"/>
          <w:szCs w:val="20"/>
        </w:rPr>
        <w:t>La emisión mundial de deuda sostenible ha repuntado en 2024. Sin embargo, las economías emergentes tan solo representan el 13% de la emisión en lo que va del año</w:t>
      </w:r>
      <w:r>
        <w:rPr>
          <w:iCs/>
          <w:color w:val="000000" w:themeColor="text1"/>
          <w:sz w:val="20"/>
          <w:szCs w:val="20"/>
        </w:rPr>
        <w:t xml:space="preserve">, </w:t>
      </w:r>
      <w:r w:rsidRPr="0042080F">
        <w:rPr>
          <w:iCs/>
          <w:color w:val="000000" w:themeColor="text1"/>
          <w:sz w:val="20"/>
          <w:szCs w:val="20"/>
        </w:rPr>
        <w:t xml:space="preserve">y la proporción de deuda sostenible de mercados emergentes denominada en moneda nacional es reducida. La inversión insuficiente en financiamiento para el clima podría retrasar los esfuerzos de mitigación y adaptación y poner en peligro la estabilidad financiera en el futuro. </w:t>
      </w:r>
    </w:p>
    <w:p w14:paraId="3650255F" w14:textId="77777777" w:rsidR="00F241C2" w:rsidRPr="00EB5370" w:rsidRDefault="00F241C2" w:rsidP="009C37B3">
      <w:pPr>
        <w:spacing w:line="360" w:lineRule="auto"/>
        <w:jc w:val="center"/>
        <w:rPr>
          <w:b/>
          <w:iCs/>
          <w:color w:val="000000" w:themeColor="text1"/>
          <w:sz w:val="20"/>
          <w:szCs w:val="20"/>
          <w:highlight w:val="yellow"/>
        </w:rPr>
      </w:pPr>
    </w:p>
    <w:p w14:paraId="4A78A909" w14:textId="77777777" w:rsidR="009C37B3" w:rsidRPr="00D75BF1" w:rsidRDefault="009C37B3" w:rsidP="009C37B3">
      <w:pPr>
        <w:spacing w:line="360" w:lineRule="auto"/>
        <w:jc w:val="center"/>
        <w:rPr>
          <w:b/>
          <w:iCs/>
          <w:color w:val="000000" w:themeColor="text1"/>
          <w:sz w:val="20"/>
          <w:szCs w:val="20"/>
        </w:rPr>
      </w:pPr>
      <w:r w:rsidRPr="00D75BF1">
        <w:rPr>
          <w:b/>
          <w:iCs/>
          <w:color w:val="000000" w:themeColor="text1"/>
          <w:sz w:val="20"/>
          <w:szCs w:val="20"/>
        </w:rPr>
        <w:t>Últimas Proyecciones de Crecimiento de Perspectivas de la Economía Mundial</w:t>
      </w:r>
    </w:p>
    <w:p w14:paraId="11F99E2E" w14:textId="5DDEE6F3" w:rsidR="009C37B3" w:rsidRDefault="009C37B3" w:rsidP="009C37B3">
      <w:pPr>
        <w:spacing w:line="360" w:lineRule="auto"/>
        <w:jc w:val="center"/>
        <w:rPr>
          <w:b/>
          <w:iCs/>
          <w:color w:val="000000" w:themeColor="text1"/>
          <w:sz w:val="20"/>
          <w:szCs w:val="20"/>
        </w:rPr>
      </w:pPr>
      <w:r w:rsidRPr="00D75BF1">
        <w:rPr>
          <w:b/>
          <w:iCs/>
          <w:color w:val="000000" w:themeColor="text1"/>
          <w:sz w:val="20"/>
          <w:szCs w:val="20"/>
        </w:rPr>
        <w:t>Octubre 202</w:t>
      </w:r>
      <w:r w:rsidR="00EB5370" w:rsidRPr="00D75BF1">
        <w:rPr>
          <w:b/>
          <w:iCs/>
          <w:color w:val="000000" w:themeColor="text1"/>
          <w:sz w:val="20"/>
          <w:szCs w:val="20"/>
        </w:rPr>
        <w:t>4</w:t>
      </w:r>
    </w:p>
    <w:p w14:paraId="25452801" w14:textId="38612AB0" w:rsidR="009C37B3" w:rsidRDefault="00EB5370" w:rsidP="00EB5370">
      <w:pPr>
        <w:spacing w:line="360" w:lineRule="auto"/>
        <w:jc w:val="center"/>
        <w:rPr>
          <w:iCs/>
          <w:color w:val="000000" w:themeColor="text1"/>
          <w:sz w:val="20"/>
          <w:szCs w:val="20"/>
        </w:rPr>
      </w:pPr>
      <w:r>
        <w:rPr>
          <w:noProof/>
          <w:lang w:val="es-MX" w:eastAsia="es-MX"/>
        </w:rPr>
        <w:drawing>
          <wp:inline distT="0" distB="0" distL="0" distR="0" wp14:anchorId="63B382B5" wp14:editId="6F4C8BB3">
            <wp:extent cx="3942080" cy="436943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92042" cy="4424813"/>
                    </a:xfrm>
                    <a:prstGeom prst="rect">
                      <a:avLst/>
                    </a:prstGeom>
                    <a:noFill/>
                    <a:ln>
                      <a:noFill/>
                    </a:ln>
                  </pic:spPr>
                </pic:pic>
              </a:graphicData>
            </a:graphic>
          </wp:inline>
        </w:drawing>
      </w:r>
    </w:p>
    <w:p w14:paraId="74663BEB" w14:textId="77777777" w:rsidR="00D75BF1" w:rsidRDefault="00D75BF1" w:rsidP="00F241C2">
      <w:pPr>
        <w:spacing w:line="360" w:lineRule="auto"/>
        <w:jc w:val="both"/>
        <w:rPr>
          <w:sz w:val="20"/>
          <w:szCs w:val="20"/>
          <w:highlight w:val="yellow"/>
        </w:rPr>
      </w:pPr>
    </w:p>
    <w:p w14:paraId="267E18EB" w14:textId="10DCDD33" w:rsidR="00F241C2" w:rsidRDefault="00DD6CF8" w:rsidP="00F241C2">
      <w:pPr>
        <w:spacing w:line="360" w:lineRule="auto"/>
        <w:jc w:val="both"/>
        <w:rPr>
          <w:sz w:val="20"/>
          <w:szCs w:val="20"/>
        </w:rPr>
      </w:pPr>
      <w:r>
        <w:rPr>
          <w:sz w:val="20"/>
          <w:szCs w:val="20"/>
        </w:rPr>
        <w:lastRenderedPageBreak/>
        <w:t xml:space="preserve">En </w:t>
      </w:r>
      <w:r w:rsidRPr="00DD6CF8">
        <w:rPr>
          <w:sz w:val="20"/>
          <w:szCs w:val="20"/>
        </w:rPr>
        <w:t>Estados Unidos</w:t>
      </w:r>
      <w:r>
        <w:rPr>
          <w:sz w:val="20"/>
          <w:szCs w:val="20"/>
        </w:rPr>
        <w:t xml:space="preserve"> l</w:t>
      </w:r>
      <w:r w:rsidRPr="00DD6CF8">
        <w:rPr>
          <w:sz w:val="20"/>
          <w:szCs w:val="20"/>
        </w:rPr>
        <w:t>a economía mostró un crecimiento trimestral real de 0.8% en el último trimestre de 2023, alcanzando un 2.5% de crecimiento anual, superando tanto el 1.9% del año anterior como las expectativas iniciales del consenso. En cuanto a la producción industrial, esta registró un aumento anual de 0.2% en 2023, luego de un crecimiento del 3.4% en 2022.</w:t>
      </w:r>
    </w:p>
    <w:p w14:paraId="6D4E6F39" w14:textId="041EA7D3" w:rsidR="00DD6CF8" w:rsidRDefault="00DD6CF8" w:rsidP="00F241C2">
      <w:pPr>
        <w:spacing w:line="360" w:lineRule="auto"/>
        <w:jc w:val="both"/>
        <w:rPr>
          <w:sz w:val="20"/>
          <w:szCs w:val="20"/>
        </w:rPr>
      </w:pPr>
    </w:p>
    <w:p w14:paraId="2A4BFC7E" w14:textId="1E4B5FA7" w:rsidR="00F241C2" w:rsidRPr="00DD6CF8" w:rsidRDefault="00DD6CF8" w:rsidP="00F241C2">
      <w:pPr>
        <w:spacing w:line="360" w:lineRule="auto"/>
        <w:jc w:val="both"/>
        <w:rPr>
          <w:sz w:val="20"/>
          <w:szCs w:val="20"/>
        </w:rPr>
      </w:pPr>
      <w:r>
        <w:rPr>
          <w:sz w:val="20"/>
          <w:szCs w:val="20"/>
        </w:rPr>
        <w:t xml:space="preserve">Para Europa </w:t>
      </w:r>
      <w:r w:rsidRPr="00DD6CF8">
        <w:rPr>
          <w:sz w:val="20"/>
          <w:szCs w:val="20"/>
        </w:rPr>
        <w:t>La actividad económica de la zona euro experimentó un estancamiento en el cuarto trimestre de 2023, tras una contracción del 0.1% en el tercer trimestre en comparación con el anterior. Como resultado, el PIB creció solo un 0.5% en 2023, cifra que se sitúa por debajo del 3.4% registrado en 2022. Además, la producción industrial se redujo un 2.4% en 2023, un descenso no visto desde 2020, tras un crecimiento del 2.3% en 2022.</w:t>
      </w:r>
    </w:p>
    <w:p w14:paraId="55C40D26" w14:textId="77777777" w:rsidR="00DD6CF8" w:rsidRPr="00A84003" w:rsidRDefault="00DD6CF8" w:rsidP="00F241C2">
      <w:pPr>
        <w:spacing w:line="360" w:lineRule="auto"/>
        <w:jc w:val="both"/>
        <w:rPr>
          <w:sz w:val="20"/>
          <w:szCs w:val="20"/>
        </w:rPr>
      </w:pPr>
    </w:p>
    <w:p w14:paraId="691C7492" w14:textId="7C12CE75" w:rsidR="009C37B3" w:rsidRPr="00DD6CF8" w:rsidRDefault="00DD6CF8" w:rsidP="00F241C2">
      <w:pPr>
        <w:spacing w:line="360" w:lineRule="auto"/>
        <w:jc w:val="both"/>
        <w:rPr>
          <w:sz w:val="20"/>
          <w:szCs w:val="20"/>
        </w:rPr>
      </w:pPr>
      <w:r>
        <w:rPr>
          <w:sz w:val="20"/>
          <w:szCs w:val="20"/>
        </w:rPr>
        <w:t xml:space="preserve">En China </w:t>
      </w:r>
      <w:r w:rsidRPr="00DD6CF8">
        <w:rPr>
          <w:sz w:val="20"/>
          <w:szCs w:val="20"/>
        </w:rPr>
        <w:t>en el cuarto trimestre de 2023, la economía creció un 1.0% trimestral y alcanzó un 5.2% anual, superando la meta oficial del 5.0%. Sin embargo, la tendencia muestra una desaceleración en la última década. Este menor dinamismo se debe, en gran medida, a la caída del sector inmobiliario, afectado por el alto endeudamiento de las constructoras y la debilidad de la demanda interna.</w:t>
      </w:r>
    </w:p>
    <w:p w14:paraId="78874F45" w14:textId="79F8F223" w:rsidR="00DD6CF8" w:rsidRPr="00DD6CF8" w:rsidRDefault="00DD6CF8" w:rsidP="00F241C2">
      <w:pPr>
        <w:spacing w:line="360" w:lineRule="auto"/>
        <w:jc w:val="both"/>
        <w:rPr>
          <w:sz w:val="20"/>
          <w:szCs w:val="20"/>
        </w:rPr>
      </w:pPr>
    </w:p>
    <w:p w14:paraId="70746170" w14:textId="5529F767" w:rsidR="00DD6CF8" w:rsidRPr="00DD6CF8" w:rsidRDefault="00DD6CF8" w:rsidP="00DD6CF8">
      <w:pPr>
        <w:spacing w:line="360" w:lineRule="auto"/>
        <w:jc w:val="both"/>
        <w:rPr>
          <w:sz w:val="20"/>
          <w:szCs w:val="20"/>
        </w:rPr>
      </w:pPr>
      <w:r w:rsidRPr="00DD6CF8">
        <w:rPr>
          <w:sz w:val="20"/>
          <w:szCs w:val="20"/>
        </w:rPr>
        <w:t>Las de</w:t>
      </w:r>
      <w:r w:rsidR="009A6A8E">
        <w:rPr>
          <w:sz w:val="20"/>
          <w:szCs w:val="20"/>
        </w:rPr>
        <w:t>cisiones de política monetaria a</w:t>
      </w:r>
      <w:r w:rsidRPr="00DD6CF8">
        <w:rPr>
          <w:sz w:val="20"/>
          <w:szCs w:val="20"/>
        </w:rPr>
        <w:t>nte la rápida disminución de las presiones inflacionarias y el anclaje de las expectativas de inflación, si bien aún por encima de su objetivo de inflación, la FED decidió mantener sin cambios su tasa de política monetaria desde la reunión del 26 de septiembre de 2023. Posteriormente, el 12 de diciembre, la última reunión del año, su presidente Jerome Powell reconoció estar cerca de la tasa terminal, aumentando las expectativas en los mercados sobre el final del ciclo monetario restrictivo en Estados Unidos</w:t>
      </w:r>
      <w:r w:rsidR="004B3C0F">
        <w:rPr>
          <w:sz w:val="20"/>
          <w:szCs w:val="20"/>
        </w:rPr>
        <w:t>.</w:t>
      </w:r>
    </w:p>
    <w:p w14:paraId="3BCB0C1C" w14:textId="77777777" w:rsidR="00DD6CF8" w:rsidRPr="00DD6CF8" w:rsidRDefault="00DD6CF8" w:rsidP="00DD6CF8">
      <w:pPr>
        <w:spacing w:line="360" w:lineRule="auto"/>
        <w:jc w:val="both"/>
        <w:rPr>
          <w:sz w:val="20"/>
          <w:szCs w:val="20"/>
        </w:rPr>
      </w:pPr>
    </w:p>
    <w:p w14:paraId="779C62EA" w14:textId="77777777" w:rsidR="00DD6CF8" w:rsidRPr="00DD6CF8" w:rsidRDefault="00DD6CF8" w:rsidP="00DD6CF8">
      <w:pPr>
        <w:spacing w:line="360" w:lineRule="auto"/>
        <w:jc w:val="both"/>
        <w:rPr>
          <w:sz w:val="20"/>
          <w:szCs w:val="20"/>
        </w:rPr>
      </w:pPr>
      <w:r w:rsidRPr="00DD6CF8">
        <w:rPr>
          <w:sz w:val="20"/>
          <w:szCs w:val="20"/>
        </w:rPr>
        <w:t>Por su parte, el Banco Central Europeo (BCE) elevó sus tres principales tasas de interés en las primeras seis reuniones del 2023, destacando la tasa de depósitos que se situó en 4.0%, nivel no observado desde que se creó el BCE en 1999. En esta línea, su Consejo de Gobierno decidió mantener sin cambios sus tasas de política monetaria desde la reunión del 17 de octubre, en un escenario de menores presiones inflacionarias, aunque por encima de un nivel consistente con el 2.0% objetivo.</w:t>
      </w:r>
    </w:p>
    <w:p w14:paraId="458B958E" w14:textId="77777777" w:rsidR="00DD6CF8" w:rsidRPr="00DD6CF8" w:rsidRDefault="00DD6CF8" w:rsidP="00DD6CF8">
      <w:pPr>
        <w:spacing w:line="360" w:lineRule="auto"/>
        <w:jc w:val="both"/>
        <w:rPr>
          <w:sz w:val="20"/>
          <w:szCs w:val="20"/>
        </w:rPr>
      </w:pPr>
    </w:p>
    <w:p w14:paraId="38BB149E" w14:textId="6AE25AFD" w:rsidR="00DD6CF8" w:rsidRDefault="009F6F84" w:rsidP="00F241C2">
      <w:pPr>
        <w:spacing w:line="360" w:lineRule="auto"/>
        <w:jc w:val="both"/>
        <w:rPr>
          <w:sz w:val="20"/>
          <w:szCs w:val="20"/>
        </w:rPr>
      </w:pPr>
      <w:r w:rsidRPr="009F6F84">
        <w:rPr>
          <w:sz w:val="20"/>
          <w:szCs w:val="20"/>
        </w:rPr>
        <w:t>En América Latina, algunos bancos centrales comenzaron a reducir sus tasas de política monetaria en 2023, debido al inicio anticipado de políticas restrictivas respecto a las economías avanzadas, la baja en presiones inflacionarias, el anclaje de las expectativas de inflación y, en ciertos casos, para impulsar la actividad económica.</w:t>
      </w:r>
    </w:p>
    <w:p w14:paraId="7BFFFC47" w14:textId="77777777" w:rsidR="00F241C2" w:rsidRDefault="00F241C2" w:rsidP="00F241C2">
      <w:pPr>
        <w:spacing w:line="360" w:lineRule="auto"/>
        <w:jc w:val="both"/>
        <w:rPr>
          <w:rFonts w:eastAsia="Calibri"/>
          <w:b/>
          <w:color w:val="000000" w:themeColor="text1"/>
          <w:sz w:val="20"/>
          <w:szCs w:val="20"/>
        </w:rPr>
      </w:pPr>
    </w:p>
    <w:p w14:paraId="03B0E673" w14:textId="77777777" w:rsidR="009C37B3" w:rsidRDefault="009C37B3" w:rsidP="00D50246">
      <w:pPr>
        <w:pStyle w:val="Prrafodelista"/>
        <w:numPr>
          <w:ilvl w:val="0"/>
          <w:numId w:val="4"/>
        </w:numPr>
        <w:spacing w:line="360" w:lineRule="auto"/>
        <w:jc w:val="both"/>
        <w:rPr>
          <w:rFonts w:eastAsia="Calibri"/>
          <w:b/>
          <w:color w:val="000000" w:themeColor="text1"/>
          <w:sz w:val="20"/>
          <w:szCs w:val="20"/>
        </w:rPr>
      </w:pPr>
      <w:r>
        <w:rPr>
          <w:rFonts w:eastAsia="Calibri"/>
          <w:b/>
          <w:color w:val="000000" w:themeColor="text1"/>
          <w:sz w:val="20"/>
          <w:szCs w:val="20"/>
        </w:rPr>
        <w:lastRenderedPageBreak/>
        <w:t>PANORAMA NACIONAL</w:t>
      </w:r>
    </w:p>
    <w:p w14:paraId="34858259" w14:textId="77777777" w:rsidR="009C37B3" w:rsidRDefault="009C37B3" w:rsidP="009C37B3">
      <w:pPr>
        <w:spacing w:line="360" w:lineRule="auto"/>
        <w:jc w:val="both"/>
        <w:rPr>
          <w:color w:val="000000" w:themeColor="text1"/>
          <w:sz w:val="20"/>
          <w:szCs w:val="20"/>
        </w:rPr>
      </w:pPr>
    </w:p>
    <w:p w14:paraId="2350027A" w14:textId="4501FE44" w:rsidR="009C37B3" w:rsidRDefault="009F6F84" w:rsidP="009C37B3">
      <w:pPr>
        <w:spacing w:line="360" w:lineRule="auto"/>
        <w:jc w:val="both"/>
        <w:rPr>
          <w:sz w:val="20"/>
          <w:szCs w:val="20"/>
        </w:rPr>
      </w:pPr>
      <w:r w:rsidRPr="009F6F84">
        <w:rPr>
          <w:sz w:val="20"/>
          <w:szCs w:val="20"/>
        </w:rPr>
        <w:t>En 2023, la economía mexicana logró tres años consecutivos de crecimiento superior a su promedio histórico, alcanzando una tasa anual de 3.2%. Desde el tercer trimestre de 2022, el PIB superó de forma consecutiva su máximo histórico en cada trimestre, algo que no ocurría en los últimos ocho años. Sin embargo, en el cuarto trimestre de 2023, se observó una desaceleración en comparación con el trimestre anterior, registrando la tasa de crecimiento más baja del año.</w:t>
      </w:r>
    </w:p>
    <w:p w14:paraId="78844812" w14:textId="77777777" w:rsidR="009F6F84" w:rsidRDefault="009F6F84" w:rsidP="009C37B3">
      <w:pPr>
        <w:spacing w:line="360" w:lineRule="auto"/>
        <w:jc w:val="both"/>
        <w:rPr>
          <w:sz w:val="20"/>
          <w:szCs w:val="20"/>
        </w:rPr>
      </w:pPr>
    </w:p>
    <w:p w14:paraId="77E02E68" w14:textId="12513D75" w:rsidR="0020124E" w:rsidRDefault="009F6F84" w:rsidP="009C37B3">
      <w:pPr>
        <w:spacing w:line="360" w:lineRule="auto"/>
        <w:jc w:val="both"/>
        <w:rPr>
          <w:sz w:val="20"/>
          <w:szCs w:val="20"/>
        </w:rPr>
      </w:pPr>
      <w:r w:rsidRPr="009F6F84">
        <w:rPr>
          <w:sz w:val="20"/>
          <w:szCs w:val="20"/>
        </w:rPr>
        <w:t>La economía mostró un buen desempeño debido a elevados niveles de inversión en un contexto de estabilidad macroeconómica, política y social, lo cual sigue fomentando una alta confianza empresarial. Tan solo la inversión privada aumentó un 19.5% en 2023, la tasa más alta registrada desde 1996. Este impulso también fue resultado de cambios en las tendencias globales de comercio y el fenómeno de la relocalización de empresas. Por otro lado, la inversión pública registró dos años consecutivos de crecimiento, impulsada por proyectos de infraestructura para la refinación de petróleo y el aumento de la conectividad en la región sur-sureste del país.</w:t>
      </w:r>
    </w:p>
    <w:p w14:paraId="51AF6893" w14:textId="2971CA9C" w:rsidR="009F6F84" w:rsidRDefault="009F6F84" w:rsidP="009C37B3">
      <w:pPr>
        <w:spacing w:line="360" w:lineRule="auto"/>
        <w:jc w:val="both"/>
        <w:rPr>
          <w:sz w:val="20"/>
          <w:szCs w:val="20"/>
        </w:rPr>
      </w:pPr>
    </w:p>
    <w:p w14:paraId="0D769672" w14:textId="6E735CD2" w:rsidR="00AE518B" w:rsidRDefault="00AE518B" w:rsidP="009C37B3">
      <w:pPr>
        <w:spacing w:line="360" w:lineRule="auto"/>
        <w:jc w:val="both"/>
        <w:rPr>
          <w:sz w:val="20"/>
          <w:szCs w:val="20"/>
        </w:rPr>
      </w:pPr>
      <w:r w:rsidRPr="00AE518B">
        <w:rPr>
          <w:sz w:val="20"/>
          <w:szCs w:val="20"/>
        </w:rPr>
        <w:t>El incremento de los salarios reales, junto con la mejora de las condiciones laborales y la generación de empleos, impulsaron el crecimiento en la confianza del consumidor y en la demanda de crédito al consumo. Estos factores, a su vez, contribuyeron a un aumento del consumo privado del 4.3% anual, casi el doble de su promedio histórico entre 2011 y 2019.</w:t>
      </w:r>
    </w:p>
    <w:p w14:paraId="5ABCE9CF" w14:textId="1C629E6A" w:rsidR="00AE518B" w:rsidRDefault="00AE518B" w:rsidP="009C37B3">
      <w:pPr>
        <w:spacing w:line="360" w:lineRule="auto"/>
        <w:jc w:val="both"/>
        <w:rPr>
          <w:sz w:val="20"/>
          <w:szCs w:val="20"/>
        </w:rPr>
      </w:pPr>
    </w:p>
    <w:p w14:paraId="0E6417C9" w14:textId="1DB37C2E" w:rsidR="00AE518B" w:rsidRDefault="00AE518B" w:rsidP="009C37B3">
      <w:pPr>
        <w:spacing w:line="360" w:lineRule="auto"/>
        <w:jc w:val="both"/>
        <w:rPr>
          <w:sz w:val="20"/>
          <w:szCs w:val="20"/>
        </w:rPr>
      </w:pPr>
      <w:r w:rsidRPr="00AE518B">
        <w:rPr>
          <w:sz w:val="20"/>
          <w:szCs w:val="20"/>
        </w:rPr>
        <w:t>El sector externo, aunque en menor medida, también aportó al crecimiento de la economía mexicana. Las exportaciones, principalmente hacia Estados Unidos, impulsaron una mayor entrada de divisas, posicionando a México como su principal socio comercial. Además, la Inversión Extranjera Directa (IED) alcanzó los 36 mil millones de dólares, el nivel más alto en cifras preliminares, colocando al país entre los cuatro principales receptores de inversión extranjera. Asimismo, las remesas y los ingresos por turismo alcanzaron récords históricos: el flujo anual de remesas fue de 63 mil millones de dólares, mientras que los ingresos por turismo sumaron 31 mil millones de dólares. Estos factores, junto con el diferencial de tasas de interés entre México y Estados Unidos, permitieron la apreciación del tipo de cambio en comparación con el año anterior, beneficiando los precios relativos de nuestras importaciones de bienes de consumo y de capital.</w:t>
      </w:r>
    </w:p>
    <w:p w14:paraId="09AFB619" w14:textId="34E99834" w:rsidR="00AE518B" w:rsidRDefault="00AE518B" w:rsidP="009C37B3">
      <w:pPr>
        <w:spacing w:line="360" w:lineRule="auto"/>
        <w:jc w:val="both"/>
        <w:rPr>
          <w:sz w:val="20"/>
          <w:szCs w:val="20"/>
        </w:rPr>
      </w:pPr>
    </w:p>
    <w:p w14:paraId="0080C26F" w14:textId="66AFD0FF" w:rsidR="00AE518B" w:rsidRDefault="00AE518B" w:rsidP="009C37B3">
      <w:pPr>
        <w:spacing w:line="360" w:lineRule="auto"/>
        <w:jc w:val="both"/>
        <w:rPr>
          <w:sz w:val="20"/>
          <w:szCs w:val="20"/>
        </w:rPr>
      </w:pPr>
    </w:p>
    <w:p w14:paraId="01F1BB15" w14:textId="477C707F" w:rsidR="00AE518B" w:rsidRDefault="00AE518B" w:rsidP="009C37B3">
      <w:pPr>
        <w:spacing w:line="360" w:lineRule="auto"/>
        <w:jc w:val="both"/>
        <w:rPr>
          <w:sz w:val="20"/>
          <w:szCs w:val="20"/>
        </w:rPr>
      </w:pPr>
      <w:r w:rsidRPr="00AE518B">
        <w:rPr>
          <w:sz w:val="20"/>
          <w:szCs w:val="20"/>
        </w:rPr>
        <w:lastRenderedPageBreak/>
        <w:t>Se prevé que la economía mexicana mantenga un crecimiento superior a su promedio histórico en 2024 y 2025, impulsada en gran medida por una demanda interna robusta y un mercado laboral activo. El consumo privado y la inversión continuarán reduciendo la brecha, mientras que la inflación se acercará gradualmente al objetivo del Banco de México.</w:t>
      </w:r>
    </w:p>
    <w:p w14:paraId="0BF48D7C" w14:textId="672A9951" w:rsidR="00AE518B" w:rsidRDefault="00AE518B" w:rsidP="009C37B3">
      <w:pPr>
        <w:spacing w:line="360" w:lineRule="auto"/>
        <w:jc w:val="both"/>
        <w:rPr>
          <w:sz w:val="20"/>
          <w:szCs w:val="20"/>
        </w:rPr>
      </w:pPr>
    </w:p>
    <w:p w14:paraId="684897A8" w14:textId="233CD221" w:rsidR="00AE518B" w:rsidRDefault="00AE518B" w:rsidP="009C37B3">
      <w:pPr>
        <w:spacing w:line="360" w:lineRule="auto"/>
        <w:jc w:val="both"/>
        <w:rPr>
          <w:sz w:val="20"/>
          <w:szCs w:val="20"/>
        </w:rPr>
      </w:pPr>
      <w:r w:rsidRPr="00AE518B">
        <w:rPr>
          <w:sz w:val="20"/>
          <w:szCs w:val="20"/>
        </w:rPr>
        <w:t>Para el resto del año y en 2025, se prevé que el nivel del PIB proyectado seguirá creciendo, pero a un ritmo menor al observado en los años anteriores. Cabe destacar que las proyecciones del marco macroeconómico reflejan un escenario de tendencia inercial que no contempla efectos adicionales por alguna política pública en particular o el efecto puntual de tendencias globales como la relocalización de empresas.</w:t>
      </w:r>
    </w:p>
    <w:p w14:paraId="6F560651" w14:textId="3BC2B9A6" w:rsidR="00AE518B" w:rsidRDefault="00AE518B" w:rsidP="009C37B3">
      <w:pPr>
        <w:spacing w:line="360" w:lineRule="auto"/>
        <w:jc w:val="both"/>
        <w:rPr>
          <w:sz w:val="20"/>
          <w:szCs w:val="20"/>
        </w:rPr>
      </w:pPr>
    </w:p>
    <w:p w14:paraId="3858D837" w14:textId="4E8F8A85" w:rsidR="00AE518B" w:rsidRDefault="00AE518B" w:rsidP="009C37B3">
      <w:pPr>
        <w:spacing w:line="360" w:lineRule="auto"/>
        <w:jc w:val="both"/>
        <w:rPr>
          <w:sz w:val="20"/>
          <w:szCs w:val="20"/>
        </w:rPr>
      </w:pPr>
      <w:r w:rsidRPr="00AE518B">
        <w:rPr>
          <w:sz w:val="20"/>
          <w:szCs w:val="20"/>
        </w:rPr>
        <w:t>El consumo de los hogares seguirá con un desempeño positivo. En primer lugar, por cambios en la legislación laboral que favorecieron el aumento de los ingresos y las prestaciones de los trabajadores. En segundo lugar, por el gasto social, tanto por su cobertura como por sus montos, que han complementado el gasto de los hogares. Finalmente, el entorno económico de estabilidad y el desempeño de la actividad económica seguirá apoyando la confianza de los consumidores y las oportunidades de inversión.</w:t>
      </w:r>
    </w:p>
    <w:p w14:paraId="73C1FC23" w14:textId="77777777" w:rsidR="00AE518B" w:rsidRDefault="00AE518B" w:rsidP="009C37B3">
      <w:pPr>
        <w:spacing w:line="360" w:lineRule="auto"/>
        <w:jc w:val="both"/>
        <w:rPr>
          <w:sz w:val="20"/>
          <w:szCs w:val="20"/>
        </w:rPr>
      </w:pPr>
    </w:p>
    <w:p w14:paraId="2E715C9A" w14:textId="40D03430" w:rsidR="00AE518B" w:rsidRDefault="00AE518B" w:rsidP="009C37B3">
      <w:pPr>
        <w:spacing w:line="360" w:lineRule="auto"/>
        <w:jc w:val="both"/>
        <w:rPr>
          <w:sz w:val="20"/>
          <w:szCs w:val="20"/>
        </w:rPr>
      </w:pPr>
      <w:r w:rsidRPr="00AE518B">
        <w:rPr>
          <w:sz w:val="20"/>
          <w:szCs w:val="20"/>
        </w:rPr>
        <w:t>Por su parte, la inversión prevista para lo que resta de 2024 estará enfocada en la construcción no residencial como infraestructura pública que contribuirá a mejorar la conectividad de las regiones del país, reducirá los tiempos de traslado de la población e impulsará sectores como el manufacturero y el turístico.</w:t>
      </w:r>
    </w:p>
    <w:p w14:paraId="0E6EFEDD" w14:textId="53342D90" w:rsidR="00AE518B" w:rsidRDefault="00AE518B" w:rsidP="009C37B3">
      <w:pPr>
        <w:spacing w:line="360" w:lineRule="auto"/>
        <w:jc w:val="both"/>
        <w:rPr>
          <w:sz w:val="20"/>
          <w:szCs w:val="20"/>
        </w:rPr>
      </w:pPr>
    </w:p>
    <w:p w14:paraId="13C4DFE2" w14:textId="5A8FA2FE" w:rsidR="00AE518B" w:rsidRDefault="00AE518B" w:rsidP="009C37B3">
      <w:pPr>
        <w:spacing w:line="360" w:lineRule="auto"/>
        <w:jc w:val="both"/>
        <w:rPr>
          <w:sz w:val="20"/>
          <w:szCs w:val="20"/>
        </w:rPr>
      </w:pPr>
      <w:r w:rsidRPr="00AE518B">
        <w:rPr>
          <w:sz w:val="20"/>
          <w:szCs w:val="20"/>
        </w:rPr>
        <w:t>En ese contexto, para 2024 se estima un rango de crecimiento para la economía mexicana que va de 2.5 a 3.5% anual; mientras que para 2025, el rango previsto es de 2.0 a 3.0% anual. Ambas proyecciones se mantienen respecto a lo previsto en el Paquete Económico 2024 publicado en septiembre del año pasado.</w:t>
      </w:r>
    </w:p>
    <w:p w14:paraId="49A65F85" w14:textId="77777777" w:rsidR="009C37B3" w:rsidRDefault="009C37B3" w:rsidP="009C37B3">
      <w:pPr>
        <w:spacing w:line="360" w:lineRule="auto"/>
        <w:jc w:val="both"/>
        <w:rPr>
          <w:color w:val="FF0000"/>
          <w:sz w:val="20"/>
          <w:szCs w:val="20"/>
        </w:rPr>
      </w:pPr>
    </w:p>
    <w:p w14:paraId="0EAB465D" w14:textId="77777777" w:rsidR="009C37B3" w:rsidRDefault="009C37B3" w:rsidP="00D50246">
      <w:pPr>
        <w:pStyle w:val="Prrafodelista"/>
        <w:numPr>
          <w:ilvl w:val="0"/>
          <w:numId w:val="4"/>
        </w:numPr>
        <w:spacing w:line="360" w:lineRule="auto"/>
        <w:jc w:val="both"/>
        <w:rPr>
          <w:rFonts w:eastAsia="Calibri"/>
          <w:b/>
          <w:color w:val="000000" w:themeColor="text1"/>
          <w:sz w:val="20"/>
          <w:szCs w:val="20"/>
        </w:rPr>
      </w:pPr>
      <w:r>
        <w:rPr>
          <w:rFonts w:eastAsia="Calibri"/>
          <w:b/>
          <w:color w:val="000000" w:themeColor="text1"/>
          <w:sz w:val="20"/>
          <w:szCs w:val="20"/>
        </w:rPr>
        <w:t>DISCIPLINA FINANCIERA</w:t>
      </w:r>
    </w:p>
    <w:p w14:paraId="5BB7177B" w14:textId="77777777" w:rsidR="009C37B3" w:rsidRDefault="009C37B3" w:rsidP="009C37B3">
      <w:pPr>
        <w:spacing w:line="360" w:lineRule="auto"/>
        <w:jc w:val="both"/>
        <w:rPr>
          <w:rFonts w:eastAsia="Calibri"/>
          <w:b/>
          <w:color w:val="000000" w:themeColor="text1"/>
          <w:sz w:val="20"/>
          <w:szCs w:val="20"/>
        </w:rPr>
      </w:pPr>
    </w:p>
    <w:p w14:paraId="1633EABE" w14:textId="779A4A08" w:rsidR="009C37B3" w:rsidRDefault="003A4F7C" w:rsidP="009C37B3">
      <w:pPr>
        <w:spacing w:line="360" w:lineRule="auto"/>
        <w:jc w:val="both"/>
        <w:rPr>
          <w:rFonts w:eastAsia="Calibri"/>
          <w:color w:val="000000" w:themeColor="text1"/>
          <w:sz w:val="20"/>
          <w:szCs w:val="20"/>
        </w:rPr>
      </w:pPr>
      <w:r>
        <w:rPr>
          <w:rFonts w:eastAsia="Calibri"/>
          <w:sz w:val="20"/>
          <w:szCs w:val="20"/>
        </w:rPr>
        <w:t>Para el Ejercicio Fiscal 2025, e</w:t>
      </w:r>
      <w:r w:rsidR="009C37B3">
        <w:rPr>
          <w:rFonts w:eastAsia="Calibri"/>
          <w:color w:val="000000" w:themeColor="text1"/>
          <w:sz w:val="20"/>
          <w:szCs w:val="20"/>
        </w:rPr>
        <w:t xml:space="preserve">l </w:t>
      </w:r>
      <w:r w:rsidR="009C37B3">
        <w:rPr>
          <w:rFonts w:eastAsia="Calibri"/>
          <w:sz w:val="20"/>
          <w:szCs w:val="20"/>
        </w:rPr>
        <w:t xml:space="preserve">Proyecto de Decreto de Presupuesto de Egresos del Estado de Tlaxcala </w:t>
      </w:r>
      <w:r w:rsidR="009C37B3">
        <w:rPr>
          <w:rFonts w:eastAsia="Calibri"/>
          <w:color w:val="000000" w:themeColor="text1"/>
          <w:sz w:val="20"/>
          <w:szCs w:val="20"/>
        </w:rPr>
        <w:t>contiene en su estructura las diversas disposiciones establecidas en dicha Ley de Disciplina Financiera de las Entidades Federativas y los Municipios.</w:t>
      </w:r>
    </w:p>
    <w:p w14:paraId="60C12F19" w14:textId="77777777" w:rsidR="009C37B3" w:rsidRDefault="009C37B3" w:rsidP="009C37B3">
      <w:pPr>
        <w:spacing w:line="360" w:lineRule="auto"/>
        <w:jc w:val="both"/>
        <w:rPr>
          <w:rFonts w:eastAsia="Calibri"/>
          <w:color w:val="000000" w:themeColor="text1"/>
          <w:sz w:val="20"/>
          <w:szCs w:val="20"/>
        </w:rPr>
      </w:pPr>
    </w:p>
    <w:p w14:paraId="6E38B522" w14:textId="01DF217C" w:rsidR="009C37B3" w:rsidRDefault="009C37B3" w:rsidP="009C37B3">
      <w:pPr>
        <w:spacing w:line="360" w:lineRule="auto"/>
        <w:jc w:val="both"/>
        <w:rPr>
          <w:rFonts w:eastAsia="Calibri"/>
          <w:color w:val="000000" w:themeColor="text1"/>
          <w:sz w:val="20"/>
          <w:szCs w:val="20"/>
        </w:rPr>
      </w:pPr>
      <w:r>
        <w:rPr>
          <w:rFonts w:eastAsia="Calibri"/>
          <w:color w:val="000000" w:themeColor="text1"/>
          <w:sz w:val="20"/>
          <w:szCs w:val="20"/>
        </w:rPr>
        <w:lastRenderedPageBreak/>
        <w:t xml:space="preserve">En primer lugar, tiene sustento en el Plan Estatal de Desarrollo 2021-2027 y en las políticas estatales fijando objetivos, estrategias e indicadores de desempeño cuantificables y observando en su elaboración </w:t>
      </w:r>
      <w:r w:rsidR="000F2129">
        <w:rPr>
          <w:rFonts w:eastAsia="Calibri"/>
          <w:color w:val="000000" w:themeColor="text1"/>
          <w:sz w:val="20"/>
          <w:szCs w:val="20"/>
        </w:rPr>
        <w:t>l</w:t>
      </w:r>
      <w:r w:rsidR="000F2129" w:rsidRPr="000F2129">
        <w:rPr>
          <w:rFonts w:eastAsia="Calibri"/>
          <w:color w:val="000000" w:themeColor="text1"/>
          <w:sz w:val="20"/>
          <w:szCs w:val="20"/>
        </w:rPr>
        <w:t>os Pre-Criterios Generales de Política Económica (Pre-</w:t>
      </w:r>
      <w:proofErr w:type="spellStart"/>
      <w:r w:rsidR="000F2129" w:rsidRPr="000F2129">
        <w:rPr>
          <w:rFonts w:eastAsia="Calibri"/>
          <w:color w:val="000000" w:themeColor="text1"/>
          <w:sz w:val="20"/>
          <w:szCs w:val="20"/>
        </w:rPr>
        <w:t>CGPE</w:t>
      </w:r>
      <w:proofErr w:type="spellEnd"/>
      <w:r w:rsidR="000F2129" w:rsidRPr="000F2129">
        <w:rPr>
          <w:rFonts w:eastAsia="Calibri"/>
          <w:color w:val="000000" w:themeColor="text1"/>
          <w:sz w:val="20"/>
          <w:szCs w:val="20"/>
        </w:rPr>
        <w:t xml:space="preserve">) </w:t>
      </w:r>
      <w:r>
        <w:rPr>
          <w:rFonts w:eastAsia="Calibri"/>
          <w:color w:val="000000" w:themeColor="text1"/>
          <w:sz w:val="20"/>
          <w:szCs w:val="20"/>
        </w:rPr>
        <w:t xml:space="preserve">que presentó la SHCP para el </w:t>
      </w:r>
      <w:r w:rsidR="000E3253">
        <w:rPr>
          <w:rFonts w:eastAsia="Calibri"/>
          <w:color w:val="000000" w:themeColor="text1"/>
          <w:sz w:val="20"/>
          <w:szCs w:val="20"/>
        </w:rPr>
        <w:t>E</w:t>
      </w:r>
      <w:r>
        <w:rPr>
          <w:rFonts w:eastAsia="Calibri"/>
          <w:color w:val="000000" w:themeColor="text1"/>
          <w:sz w:val="20"/>
          <w:szCs w:val="20"/>
        </w:rPr>
        <w:t xml:space="preserve">jercicio </w:t>
      </w:r>
      <w:r w:rsidR="000E3253">
        <w:rPr>
          <w:rFonts w:eastAsia="Calibri"/>
          <w:color w:val="000000" w:themeColor="text1"/>
          <w:sz w:val="20"/>
          <w:szCs w:val="20"/>
        </w:rPr>
        <w:t>F</w:t>
      </w:r>
      <w:r>
        <w:rPr>
          <w:rFonts w:eastAsia="Calibri"/>
          <w:color w:val="000000" w:themeColor="text1"/>
          <w:sz w:val="20"/>
          <w:szCs w:val="20"/>
        </w:rPr>
        <w:t>iscal 202</w:t>
      </w:r>
      <w:r w:rsidR="00B13097">
        <w:rPr>
          <w:rFonts w:eastAsia="Calibri"/>
          <w:color w:val="000000" w:themeColor="text1"/>
          <w:sz w:val="20"/>
          <w:szCs w:val="20"/>
        </w:rPr>
        <w:t>5</w:t>
      </w:r>
      <w:r>
        <w:rPr>
          <w:rFonts w:eastAsia="Calibri"/>
          <w:color w:val="000000" w:themeColor="text1"/>
          <w:sz w:val="20"/>
          <w:szCs w:val="20"/>
        </w:rPr>
        <w:t>.</w:t>
      </w:r>
    </w:p>
    <w:p w14:paraId="1089DE81" w14:textId="68143689" w:rsidR="009C37B3" w:rsidRDefault="009C37B3" w:rsidP="009C37B3">
      <w:pPr>
        <w:spacing w:line="360" w:lineRule="auto"/>
        <w:jc w:val="both"/>
        <w:rPr>
          <w:rFonts w:eastAsia="Calibri"/>
          <w:color w:val="000000" w:themeColor="text1"/>
          <w:sz w:val="20"/>
          <w:szCs w:val="20"/>
        </w:rPr>
      </w:pPr>
    </w:p>
    <w:p w14:paraId="6A7D1137" w14:textId="77777777" w:rsidR="000F2129" w:rsidRDefault="000F2129" w:rsidP="009C37B3">
      <w:pPr>
        <w:spacing w:line="360" w:lineRule="auto"/>
        <w:jc w:val="both"/>
        <w:rPr>
          <w:rFonts w:eastAsia="Calibri"/>
          <w:color w:val="000000" w:themeColor="text1"/>
          <w:sz w:val="20"/>
          <w:szCs w:val="20"/>
        </w:rPr>
      </w:pPr>
    </w:p>
    <w:p w14:paraId="1429A5CD" w14:textId="606D4B18" w:rsidR="009C37B3" w:rsidRDefault="009C37B3" w:rsidP="009C37B3">
      <w:pPr>
        <w:spacing w:line="360" w:lineRule="auto"/>
        <w:jc w:val="both"/>
        <w:rPr>
          <w:rFonts w:eastAsia="Calibri"/>
          <w:color w:val="000000" w:themeColor="text1"/>
          <w:sz w:val="20"/>
          <w:szCs w:val="20"/>
        </w:rPr>
      </w:pPr>
      <w:r>
        <w:rPr>
          <w:rFonts w:eastAsia="Calibri"/>
          <w:color w:val="000000" w:themeColor="text1"/>
          <w:sz w:val="20"/>
          <w:szCs w:val="20"/>
        </w:rPr>
        <w:t xml:space="preserve">En </w:t>
      </w:r>
      <w:r w:rsidR="00B13097">
        <w:rPr>
          <w:rFonts w:eastAsia="Calibri"/>
          <w:color w:val="000000" w:themeColor="text1"/>
          <w:sz w:val="20"/>
          <w:szCs w:val="20"/>
        </w:rPr>
        <w:t>correspondencia</w:t>
      </w:r>
      <w:r>
        <w:rPr>
          <w:rFonts w:eastAsia="Calibri"/>
          <w:color w:val="000000" w:themeColor="text1"/>
          <w:sz w:val="20"/>
          <w:szCs w:val="20"/>
        </w:rPr>
        <w:t xml:space="preserve"> </w:t>
      </w:r>
      <w:r w:rsidR="00B13097">
        <w:rPr>
          <w:rFonts w:eastAsia="Calibri"/>
          <w:color w:val="000000" w:themeColor="text1"/>
          <w:sz w:val="20"/>
          <w:szCs w:val="20"/>
        </w:rPr>
        <w:t>con la política económica</w:t>
      </w:r>
      <w:r>
        <w:rPr>
          <w:rFonts w:eastAsia="Calibri"/>
          <w:color w:val="000000" w:themeColor="text1"/>
          <w:sz w:val="20"/>
          <w:szCs w:val="20"/>
        </w:rPr>
        <w:t xml:space="preserve"> nacional, en esta iniciativa se consideraron:</w:t>
      </w:r>
    </w:p>
    <w:p w14:paraId="1CCA6006" w14:textId="77777777" w:rsidR="009C37B3" w:rsidRDefault="009C37B3" w:rsidP="009C37B3">
      <w:pPr>
        <w:spacing w:line="360" w:lineRule="auto"/>
        <w:jc w:val="both"/>
        <w:rPr>
          <w:rFonts w:eastAsia="Calibri"/>
          <w:color w:val="000000" w:themeColor="text1"/>
          <w:sz w:val="20"/>
          <w:szCs w:val="20"/>
        </w:rPr>
      </w:pPr>
    </w:p>
    <w:p w14:paraId="1AD282A6" w14:textId="77777777" w:rsidR="009C37B3" w:rsidRDefault="009C37B3" w:rsidP="00D50246">
      <w:pPr>
        <w:pStyle w:val="Prrafodelista"/>
        <w:numPr>
          <w:ilvl w:val="0"/>
          <w:numId w:val="5"/>
        </w:numPr>
        <w:spacing w:line="360" w:lineRule="auto"/>
        <w:jc w:val="both"/>
        <w:rPr>
          <w:rFonts w:eastAsia="Calibri"/>
          <w:color w:val="000000" w:themeColor="text1"/>
          <w:sz w:val="20"/>
          <w:szCs w:val="20"/>
        </w:rPr>
      </w:pPr>
      <w:r>
        <w:rPr>
          <w:rFonts w:eastAsia="Calibri"/>
          <w:color w:val="000000" w:themeColor="text1"/>
          <w:sz w:val="20"/>
          <w:szCs w:val="20"/>
        </w:rPr>
        <w:t>Objetivos anuales, estrategias y metas.</w:t>
      </w:r>
    </w:p>
    <w:p w14:paraId="18EAE430" w14:textId="77777777" w:rsidR="009C37B3" w:rsidRDefault="009C37B3" w:rsidP="00D50246">
      <w:pPr>
        <w:pStyle w:val="Prrafodelista"/>
        <w:numPr>
          <w:ilvl w:val="0"/>
          <w:numId w:val="5"/>
        </w:numPr>
        <w:spacing w:line="360" w:lineRule="auto"/>
        <w:jc w:val="both"/>
        <w:rPr>
          <w:rFonts w:eastAsia="Calibri"/>
          <w:color w:val="000000" w:themeColor="text1"/>
          <w:sz w:val="20"/>
          <w:szCs w:val="20"/>
        </w:rPr>
      </w:pPr>
      <w:r>
        <w:rPr>
          <w:rFonts w:eastAsia="Calibri"/>
          <w:color w:val="000000" w:themeColor="text1"/>
          <w:sz w:val="20"/>
          <w:szCs w:val="20"/>
        </w:rPr>
        <w:t>Las proyecciones de egresos en materia presupuestal.</w:t>
      </w:r>
    </w:p>
    <w:p w14:paraId="0640BCAA" w14:textId="77777777" w:rsidR="009C37B3" w:rsidRDefault="009C37B3" w:rsidP="00D50246">
      <w:pPr>
        <w:pStyle w:val="Prrafodelista"/>
        <w:numPr>
          <w:ilvl w:val="0"/>
          <w:numId w:val="5"/>
        </w:numPr>
        <w:spacing w:line="360" w:lineRule="auto"/>
        <w:jc w:val="both"/>
        <w:rPr>
          <w:rFonts w:eastAsia="Calibri"/>
          <w:color w:val="000000" w:themeColor="text1"/>
          <w:sz w:val="20"/>
          <w:szCs w:val="20"/>
        </w:rPr>
      </w:pPr>
      <w:r>
        <w:rPr>
          <w:rFonts w:eastAsia="Calibri"/>
          <w:color w:val="000000" w:themeColor="text1"/>
          <w:sz w:val="20"/>
          <w:szCs w:val="20"/>
        </w:rPr>
        <w:t>Los riesgos para las finanzas públicas estatales.</w:t>
      </w:r>
    </w:p>
    <w:p w14:paraId="7C927436" w14:textId="77777777" w:rsidR="009C37B3" w:rsidRDefault="009C37B3" w:rsidP="00D50246">
      <w:pPr>
        <w:pStyle w:val="Prrafodelista"/>
        <w:numPr>
          <w:ilvl w:val="0"/>
          <w:numId w:val="5"/>
        </w:numPr>
        <w:spacing w:line="360" w:lineRule="auto"/>
        <w:jc w:val="both"/>
        <w:rPr>
          <w:rFonts w:eastAsia="Calibri"/>
          <w:color w:val="000000" w:themeColor="text1"/>
          <w:sz w:val="20"/>
          <w:szCs w:val="20"/>
        </w:rPr>
      </w:pPr>
      <w:r>
        <w:rPr>
          <w:rFonts w:eastAsia="Calibri"/>
          <w:color w:val="000000" w:themeColor="text1"/>
          <w:sz w:val="20"/>
          <w:szCs w:val="20"/>
        </w:rPr>
        <w:t>Los resultados presupuestarios de los últimos cinco años.</w:t>
      </w:r>
    </w:p>
    <w:p w14:paraId="19812D23" w14:textId="77777777" w:rsidR="009C37B3" w:rsidRDefault="009C37B3" w:rsidP="00D50246">
      <w:pPr>
        <w:pStyle w:val="Prrafodelista"/>
        <w:numPr>
          <w:ilvl w:val="0"/>
          <w:numId w:val="5"/>
        </w:numPr>
        <w:spacing w:line="360" w:lineRule="auto"/>
        <w:jc w:val="both"/>
        <w:rPr>
          <w:rFonts w:eastAsia="Calibri"/>
          <w:color w:val="000000" w:themeColor="text1"/>
          <w:sz w:val="20"/>
          <w:szCs w:val="20"/>
        </w:rPr>
      </w:pPr>
      <w:r>
        <w:rPr>
          <w:rFonts w:eastAsia="Calibri"/>
          <w:color w:val="000000" w:themeColor="text1"/>
          <w:sz w:val="20"/>
          <w:szCs w:val="20"/>
        </w:rPr>
        <w:t>Un estudio Actuarial de Pensiones de sus trabajadores.</w:t>
      </w:r>
    </w:p>
    <w:p w14:paraId="0BAD5263" w14:textId="77777777" w:rsidR="009C37B3" w:rsidRDefault="009C37B3" w:rsidP="009C37B3">
      <w:pPr>
        <w:pStyle w:val="Prrafodelista"/>
        <w:spacing w:line="360" w:lineRule="auto"/>
        <w:ind w:left="720"/>
        <w:jc w:val="both"/>
        <w:rPr>
          <w:rFonts w:eastAsia="Calibri"/>
          <w:color w:val="000000" w:themeColor="text1"/>
          <w:sz w:val="20"/>
          <w:szCs w:val="20"/>
        </w:rPr>
      </w:pPr>
    </w:p>
    <w:p w14:paraId="133E5C0F" w14:textId="6BFD6639" w:rsidR="009C37B3" w:rsidRDefault="00B13097" w:rsidP="009C37B3">
      <w:pPr>
        <w:spacing w:line="360" w:lineRule="auto"/>
        <w:jc w:val="both"/>
        <w:rPr>
          <w:rFonts w:eastAsia="Calibri"/>
          <w:color w:val="000000" w:themeColor="text1"/>
          <w:sz w:val="20"/>
          <w:szCs w:val="20"/>
        </w:rPr>
      </w:pPr>
      <w:r>
        <w:rPr>
          <w:rFonts w:eastAsia="Calibri"/>
          <w:color w:val="000000" w:themeColor="text1"/>
          <w:sz w:val="20"/>
          <w:szCs w:val="20"/>
        </w:rPr>
        <w:t>En</w:t>
      </w:r>
      <w:r w:rsidR="009C37B3">
        <w:rPr>
          <w:rFonts w:eastAsia="Calibri"/>
          <w:color w:val="000000" w:themeColor="text1"/>
          <w:sz w:val="20"/>
          <w:szCs w:val="20"/>
        </w:rPr>
        <w:t xml:space="preserve"> el presente </w:t>
      </w:r>
      <w:r w:rsidR="009C37B3">
        <w:rPr>
          <w:rFonts w:eastAsia="Calibri"/>
          <w:sz w:val="20"/>
          <w:szCs w:val="20"/>
        </w:rPr>
        <w:t>Proyecto de Decreto de Presupuesto de Egresos del Estado de Tlaxcala para el Ejercicio Fiscal 202</w:t>
      </w:r>
      <w:r>
        <w:rPr>
          <w:rFonts w:eastAsia="Calibri"/>
          <w:sz w:val="20"/>
          <w:szCs w:val="20"/>
        </w:rPr>
        <w:t>5</w:t>
      </w:r>
      <w:r w:rsidR="009C37B3">
        <w:rPr>
          <w:rFonts w:eastAsia="Calibri"/>
          <w:sz w:val="20"/>
          <w:szCs w:val="20"/>
        </w:rPr>
        <w:t xml:space="preserve">, </w:t>
      </w:r>
      <w:r w:rsidR="009C37B3">
        <w:rPr>
          <w:rFonts w:eastAsia="Calibri"/>
          <w:color w:val="000000" w:themeColor="text1"/>
          <w:sz w:val="20"/>
          <w:szCs w:val="20"/>
        </w:rPr>
        <w:t>se prevén medidas y recursos para atender diversas situaciones que pudieran afectar las finanzas públicas, destacando las siguientes:</w:t>
      </w:r>
    </w:p>
    <w:p w14:paraId="5A5E78D9" w14:textId="77777777" w:rsidR="009C37B3" w:rsidRDefault="009C37B3" w:rsidP="009C37B3">
      <w:pPr>
        <w:spacing w:line="360" w:lineRule="auto"/>
        <w:jc w:val="both"/>
        <w:rPr>
          <w:rFonts w:eastAsia="Calibri"/>
          <w:color w:val="000000" w:themeColor="text1"/>
          <w:sz w:val="20"/>
          <w:szCs w:val="20"/>
        </w:rPr>
      </w:pPr>
    </w:p>
    <w:p w14:paraId="6CB34619" w14:textId="349521AC" w:rsidR="00B13097" w:rsidRDefault="00B13097" w:rsidP="00201309">
      <w:pPr>
        <w:pStyle w:val="Prrafodelista"/>
        <w:numPr>
          <w:ilvl w:val="1"/>
          <w:numId w:val="6"/>
        </w:numPr>
        <w:spacing w:line="360" w:lineRule="auto"/>
        <w:jc w:val="both"/>
        <w:rPr>
          <w:rFonts w:eastAsia="Calibri"/>
          <w:color w:val="000000" w:themeColor="text1"/>
          <w:sz w:val="20"/>
          <w:szCs w:val="20"/>
        </w:rPr>
      </w:pPr>
      <w:r w:rsidRPr="00B13097">
        <w:rPr>
          <w:rFonts w:eastAsia="Calibri"/>
          <w:b/>
          <w:color w:val="000000" w:themeColor="text1"/>
          <w:sz w:val="20"/>
          <w:szCs w:val="20"/>
        </w:rPr>
        <w:t>Pensiones</w:t>
      </w:r>
      <w:r w:rsidRPr="00B13097">
        <w:rPr>
          <w:rFonts w:eastAsia="Calibri"/>
          <w:color w:val="000000" w:themeColor="text1"/>
          <w:sz w:val="20"/>
          <w:szCs w:val="20"/>
        </w:rPr>
        <w:t>. -</w:t>
      </w:r>
      <w:r w:rsidR="009C37B3" w:rsidRPr="00B13097">
        <w:rPr>
          <w:rFonts w:eastAsia="Calibri"/>
          <w:color w:val="000000" w:themeColor="text1"/>
          <w:sz w:val="20"/>
          <w:szCs w:val="20"/>
        </w:rPr>
        <w:t xml:space="preserve"> </w:t>
      </w:r>
      <w:r w:rsidRPr="00B13097">
        <w:rPr>
          <w:rFonts w:eastAsia="Calibri"/>
          <w:color w:val="000000" w:themeColor="text1"/>
          <w:sz w:val="20"/>
          <w:szCs w:val="20"/>
        </w:rPr>
        <w:t>Se deben observar los riesgos fiscales de mediano plazo, que permitirá, en el largo plazo, garantizar el pago de las mismas</w:t>
      </w:r>
      <w:r>
        <w:rPr>
          <w:rFonts w:eastAsia="Calibri"/>
          <w:color w:val="000000" w:themeColor="text1"/>
          <w:sz w:val="20"/>
          <w:szCs w:val="20"/>
        </w:rPr>
        <w:t>.</w:t>
      </w:r>
      <w:r w:rsidRPr="00B13097">
        <w:rPr>
          <w:rFonts w:eastAsia="Calibri"/>
          <w:color w:val="000000" w:themeColor="text1"/>
          <w:sz w:val="20"/>
          <w:szCs w:val="20"/>
        </w:rPr>
        <w:t xml:space="preserve"> </w:t>
      </w:r>
    </w:p>
    <w:p w14:paraId="75002C1F" w14:textId="5E15282E" w:rsidR="009C37B3" w:rsidRPr="00B13097" w:rsidRDefault="009C37B3" w:rsidP="00201309">
      <w:pPr>
        <w:pStyle w:val="Prrafodelista"/>
        <w:numPr>
          <w:ilvl w:val="1"/>
          <w:numId w:val="6"/>
        </w:numPr>
        <w:spacing w:line="360" w:lineRule="auto"/>
        <w:jc w:val="both"/>
        <w:rPr>
          <w:rFonts w:eastAsia="Calibri"/>
          <w:color w:val="000000" w:themeColor="text1"/>
          <w:sz w:val="20"/>
          <w:szCs w:val="20"/>
        </w:rPr>
      </w:pPr>
      <w:r w:rsidRPr="00B13097">
        <w:rPr>
          <w:rFonts w:eastAsia="Calibri"/>
          <w:b/>
          <w:color w:val="000000" w:themeColor="text1"/>
          <w:sz w:val="20"/>
          <w:szCs w:val="20"/>
        </w:rPr>
        <w:t xml:space="preserve">Desastres </w:t>
      </w:r>
      <w:r w:rsidR="00B13097" w:rsidRPr="00B13097">
        <w:rPr>
          <w:rFonts w:eastAsia="Calibri"/>
          <w:b/>
          <w:color w:val="000000" w:themeColor="text1"/>
          <w:sz w:val="20"/>
          <w:szCs w:val="20"/>
        </w:rPr>
        <w:t>naturales</w:t>
      </w:r>
      <w:r w:rsidR="00B13097" w:rsidRPr="00B13097">
        <w:rPr>
          <w:rFonts w:eastAsia="Calibri"/>
          <w:color w:val="000000" w:themeColor="text1"/>
          <w:sz w:val="20"/>
          <w:szCs w:val="20"/>
        </w:rPr>
        <w:t>. -</w:t>
      </w:r>
      <w:r w:rsidRPr="00B13097">
        <w:rPr>
          <w:rFonts w:eastAsia="Calibri"/>
          <w:color w:val="000000" w:themeColor="text1"/>
          <w:sz w:val="20"/>
          <w:szCs w:val="20"/>
        </w:rPr>
        <w:t xml:space="preserve"> Los recursos para la aportación al fondo específico para desastres naturales, se realizarán durante el ejercicio con recursos excedentes como lo establece el Código Financiero para el Estado de Tlaxcala y sus Municipios, para cubrir el costo de daños en infraestructura pública y atender a la población afectada. Los recursos se deberán depositar en el fideicomiso de administración y pago correspondiente.</w:t>
      </w:r>
    </w:p>
    <w:p w14:paraId="22A9A477" w14:textId="0E5B0EA9" w:rsidR="009C37B3" w:rsidRDefault="009C37B3" w:rsidP="00D50246">
      <w:pPr>
        <w:pStyle w:val="Prrafodelista"/>
        <w:numPr>
          <w:ilvl w:val="1"/>
          <w:numId w:val="6"/>
        </w:numPr>
        <w:spacing w:line="360" w:lineRule="auto"/>
        <w:jc w:val="both"/>
        <w:rPr>
          <w:rFonts w:eastAsia="Calibri"/>
          <w:sz w:val="20"/>
          <w:szCs w:val="20"/>
        </w:rPr>
      </w:pPr>
      <w:r>
        <w:rPr>
          <w:rFonts w:eastAsia="Calibri"/>
          <w:b/>
          <w:sz w:val="20"/>
          <w:szCs w:val="20"/>
        </w:rPr>
        <w:t xml:space="preserve">Servicios </w:t>
      </w:r>
      <w:r w:rsidR="00B13097">
        <w:rPr>
          <w:rFonts w:eastAsia="Calibri"/>
          <w:b/>
          <w:sz w:val="20"/>
          <w:szCs w:val="20"/>
        </w:rPr>
        <w:t>personales</w:t>
      </w:r>
      <w:r w:rsidR="00B13097">
        <w:rPr>
          <w:rFonts w:eastAsia="Calibri"/>
          <w:sz w:val="20"/>
          <w:szCs w:val="20"/>
        </w:rPr>
        <w:t>. -</w:t>
      </w:r>
      <w:r>
        <w:rPr>
          <w:rFonts w:eastAsia="Calibri"/>
          <w:sz w:val="20"/>
          <w:szCs w:val="20"/>
        </w:rPr>
        <w:t xml:space="preserve"> Se incluye una sección específica correspondiente al gasto en servicios personales, el cual comprende las remuneraciones de los servidores públicos, desglosando las percepciones ordinarias y extraordinarias, e incluyendo las erogaciones por concepto de obligaciones de carácter fiscal y de seguridad social inherentes a las mismas. </w:t>
      </w:r>
    </w:p>
    <w:p w14:paraId="61171ECD" w14:textId="77777777" w:rsidR="009C37B3" w:rsidRDefault="009C37B3" w:rsidP="00D50246">
      <w:pPr>
        <w:pStyle w:val="Prrafodelista"/>
        <w:numPr>
          <w:ilvl w:val="1"/>
          <w:numId w:val="6"/>
        </w:numPr>
        <w:spacing w:line="360" w:lineRule="auto"/>
        <w:jc w:val="both"/>
        <w:rPr>
          <w:rFonts w:eastAsia="Calibri"/>
          <w:color w:val="000000" w:themeColor="text1"/>
          <w:sz w:val="20"/>
          <w:szCs w:val="20"/>
        </w:rPr>
      </w:pPr>
      <w:r>
        <w:rPr>
          <w:rFonts w:eastAsia="Calibri"/>
          <w:b/>
          <w:color w:val="000000" w:themeColor="text1"/>
          <w:sz w:val="20"/>
          <w:szCs w:val="20"/>
        </w:rPr>
        <w:t xml:space="preserve">Excedentes </w:t>
      </w:r>
      <w:proofErr w:type="gramStart"/>
      <w:r>
        <w:rPr>
          <w:rFonts w:eastAsia="Calibri"/>
          <w:b/>
          <w:color w:val="000000" w:themeColor="text1"/>
          <w:sz w:val="20"/>
          <w:szCs w:val="20"/>
        </w:rPr>
        <w:t>presupuestarios</w:t>
      </w:r>
      <w:r>
        <w:rPr>
          <w:rFonts w:eastAsia="Calibri"/>
          <w:color w:val="000000" w:themeColor="text1"/>
          <w:sz w:val="20"/>
          <w:szCs w:val="20"/>
        </w:rPr>
        <w:t>.-</w:t>
      </w:r>
      <w:proofErr w:type="gramEnd"/>
      <w:r>
        <w:rPr>
          <w:rFonts w:eastAsia="Calibri"/>
          <w:color w:val="000000" w:themeColor="text1"/>
          <w:sz w:val="20"/>
          <w:szCs w:val="20"/>
        </w:rPr>
        <w:t xml:space="preserve"> Por otro lado, en el proyecto se establece que, en caso de cumplirse o rebasarse las expectativas económicas previstas, los excedentes presupuestarios que se determinen, deberán aplicarse, de conformidad con lo </w:t>
      </w:r>
      <w:r>
        <w:rPr>
          <w:rFonts w:eastAsia="Calibri"/>
          <w:color w:val="000000" w:themeColor="text1"/>
          <w:sz w:val="20"/>
          <w:szCs w:val="20"/>
        </w:rPr>
        <w:lastRenderedPageBreak/>
        <w:t>establecido en el Código Financiero para el Estado de Tlaxcala y sus Municipios como sigue:</w:t>
      </w:r>
    </w:p>
    <w:p w14:paraId="4F0599CE" w14:textId="77777777" w:rsidR="009C37B3" w:rsidRDefault="009C37B3" w:rsidP="009C37B3">
      <w:pPr>
        <w:spacing w:line="360" w:lineRule="auto"/>
        <w:jc w:val="both"/>
        <w:rPr>
          <w:rFonts w:eastAsia="Calibri"/>
          <w:color w:val="000000" w:themeColor="text1"/>
          <w:sz w:val="20"/>
          <w:szCs w:val="20"/>
        </w:rPr>
      </w:pPr>
    </w:p>
    <w:p w14:paraId="24EA4CED" w14:textId="77777777" w:rsidR="009C37B3" w:rsidRDefault="009C37B3" w:rsidP="00D50246">
      <w:pPr>
        <w:pStyle w:val="Prrafodelista"/>
        <w:numPr>
          <w:ilvl w:val="2"/>
          <w:numId w:val="7"/>
        </w:numPr>
        <w:spacing w:line="360" w:lineRule="auto"/>
        <w:jc w:val="both"/>
        <w:rPr>
          <w:rFonts w:eastAsia="Calibri"/>
          <w:color w:val="000000" w:themeColor="text1"/>
          <w:sz w:val="20"/>
          <w:szCs w:val="20"/>
        </w:rPr>
      </w:pPr>
      <w:r>
        <w:rPr>
          <w:rFonts w:eastAsia="Calibri"/>
          <w:color w:val="000000" w:themeColor="text1"/>
          <w:sz w:val="20"/>
          <w:szCs w:val="20"/>
        </w:rPr>
        <w:t>Por lo menos el 50 por ciento 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la atención de desastres naturales y de pensiones, y</w:t>
      </w:r>
    </w:p>
    <w:p w14:paraId="4B95F8D0" w14:textId="77777777" w:rsidR="009C37B3" w:rsidRDefault="009C37B3" w:rsidP="00D50246">
      <w:pPr>
        <w:pStyle w:val="Prrafodelista"/>
        <w:numPr>
          <w:ilvl w:val="2"/>
          <w:numId w:val="7"/>
        </w:numPr>
        <w:spacing w:line="360" w:lineRule="auto"/>
        <w:jc w:val="both"/>
        <w:rPr>
          <w:rFonts w:eastAsia="Calibri"/>
          <w:color w:val="000000" w:themeColor="text1"/>
          <w:sz w:val="20"/>
          <w:szCs w:val="20"/>
        </w:rPr>
      </w:pPr>
      <w:r>
        <w:rPr>
          <w:rFonts w:eastAsia="Calibri"/>
          <w:color w:val="000000" w:themeColor="text1"/>
          <w:sz w:val="20"/>
          <w:szCs w:val="20"/>
        </w:rPr>
        <w:t>En su caso, el remanente para: Inversión pública productiva, a través del Fondo de Inversión Pública Productiva Estatal o Municipal, según sea el caso, con el fin de que los recursos correspondientes se ejerzan a más tardar en el ejercicio inmediato siguiente y el Fondo de Compensación Estatal o Municipal, según sea el caso, que tiene por objeto compensar la caída de Ingresos de libre disposición de ejercicios subsecuentes.</w:t>
      </w:r>
    </w:p>
    <w:p w14:paraId="53771FCC" w14:textId="77777777" w:rsidR="009C37B3" w:rsidRDefault="009C37B3" w:rsidP="009C37B3">
      <w:pPr>
        <w:pStyle w:val="Prrafodelista"/>
        <w:spacing w:line="360" w:lineRule="auto"/>
        <w:ind w:left="1440"/>
        <w:jc w:val="both"/>
        <w:rPr>
          <w:rFonts w:eastAsia="Calibri"/>
          <w:color w:val="000000" w:themeColor="text1"/>
          <w:sz w:val="20"/>
          <w:szCs w:val="20"/>
        </w:rPr>
      </w:pPr>
    </w:p>
    <w:p w14:paraId="1C0BC5F4" w14:textId="77777777" w:rsidR="009C37B3" w:rsidRDefault="009C37B3" w:rsidP="009C37B3">
      <w:pPr>
        <w:spacing w:line="360" w:lineRule="auto"/>
        <w:jc w:val="both"/>
        <w:rPr>
          <w:rFonts w:eastAsia="Calibri"/>
          <w:color w:val="000000" w:themeColor="text1"/>
          <w:sz w:val="20"/>
          <w:szCs w:val="20"/>
        </w:rPr>
      </w:pPr>
      <w:r>
        <w:rPr>
          <w:rFonts w:eastAsia="Calibri"/>
          <w:color w:val="000000" w:themeColor="text1"/>
          <w:sz w:val="20"/>
          <w:szCs w:val="20"/>
        </w:rPr>
        <w:t>Los ingresos excedentes podrán destinarse a los rubros mencionados sin limitación alguna, siempre y cuando el Estado se clasifique en un nivel de endeudamiento sostenible de acuerdo con el Sistema de Alertas.</w:t>
      </w:r>
    </w:p>
    <w:p w14:paraId="0AB5EA40" w14:textId="77777777" w:rsidR="009C37B3" w:rsidRDefault="009C37B3" w:rsidP="009C37B3">
      <w:pPr>
        <w:spacing w:line="360" w:lineRule="auto"/>
        <w:jc w:val="both"/>
        <w:rPr>
          <w:rFonts w:eastAsia="Calibri"/>
          <w:color w:val="000000" w:themeColor="text1"/>
          <w:sz w:val="20"/>
          <w:szCs w:val="20"/>
        </w:rPr>
      </w:pPr>
    </w:p>
    <w:p w14:paraId="7FE84D19" w14:textId="77777777" w:rsidR="009C37B3" w:rsidRDefault="009C37B3" w:rsidP="009C37B3">
      <w:pPr>
        <w:spacing w:line="360" w:lineRule="auto"/>
        <w:jc w:val="both"/>
        <w:rPr>
          <w:rFonts w:eastAsia="Calibri"/>
          <w:color w:val="000000" w:themeColor="text1"/>
          <w:sz w:val="20"/>
          <w:szCs w:val="20"/>
        </w:rPr>
      </w:pPr>
      <w:r>
        <w:rPr>
          <w:rFonts w:eastAsia="Calibri"/>
          <w:color w:val="000000" w:themeColor="text1"/>
          <w:sz w:val="20"/>
          <w:szCs w:val="20"/>
        </w:rPr>
        <w:t>Y por la Ley de Disciplina Financiera de las Entidades Federativas y los Municipios que enuncia lo siguiente:</w:t>
      </w:r>
    </w:p>
    <w:p w14:paraId="0DE2AC99" w14:textId="77777777" w:rsidR="009C37B3" w:rsidRDefault="009C37B3" w:rsidP="00D50246">
      <w:pPr>
        <w:pStyle w:val="Prrafodelista"/>
        <w:numPr>
          <w:ilvl w:val="0"/>
          <w:numId w:val="8"/>
        </w:numPr>
        <w:spacing w:line="360" w:lineRule="auto"/>
        <w:jc w:val="both"/>
        <w:rPr>
          <w:rFonts w:eastAsia="Calibri"/>
          <w:color w:val="000000" w:themeColor="text1"/>
          <w:sz w:val="20"/>
          <w:szCs w:val="20"/>
        </w:rPr>
      </w:pPr>
      <w:r>
        <w:rPr>
          <w:sz w:val="20"/>
          <w:szCs w:val="20"/>
        </w:rPr>
        <w:t>Cuando la Entidad Federativa se clasifique en un nivel de endeudamiento sostenible de acuerdo con el Sistema de Alertas, podrá utilizar hasta un 5 por ciento de los recursos a los que se refiere el presente artículo para cubrir Gasto Corriente.</w:t>
      </w:r>
    </w:p>
    <w:p w14:paraId="4C042E71" w14:textId="77777777" w:rsidR="009C37B3" w:rsidRDefault="009C37B3" w:rsidP="009C37B3">
      <w:pPr>
        <w:spacing w:line="360" w:lineRule="auto"/>
        <w:jc w:val="both"/>
        <w:rPr>
          <w:rFonts w:eastAsia="Calibri"/>
          <w:color w:val="000000" w:themeColor="text1"/>
          <w:sz w:val="10"/>
          <w:szCs w:val="10"/>
        </w:rPr>
      </w:pPr>
    </w:p>
    <w:p w14:paraId="57767C1E" w14:textId="48C60B85" w:rsidR="009C37B3" w:rsidRDefault="009C37B3" w:rsidP="009C37B3">
      <w:pPr>
        <w:spacing w:line="360" w:lineRule="auto"/>
        <w:jc w:val="both"/>
        <w:rPr>
          <w:rFonts w:eastAsia="Calibri"/>
          <w:color w:val="000000" w:themeColor="text1"/>
          <w:sz w:val="20"/>
          <w:szCs w:val="20"/>
        </w:rPr>
      </w:pPr>
      <w:r>
        <w:rPr>
          <w:rFonts w:eastAsia="Calibri"/>
          <w:color w:val="000000" w:themeColor="text1"/>
          <w:sz w:val="20"/>
          <w:szCs w:val="20"/>
        </w:rPr>
        <w:t xml:space="preserve">Los Municipios y demás entes públicos se apegarán a la misma regla, conforme lo previsto en el Código Financiero para el Estado </w:t>
      </w:r>
      <w:r w:rsidR="008A605B">
        <w:rPr>
          <w:rFonts w:eastAsia="Calibri"/>
          <w:color w:val="000000" w:themeColor="text1"/>
          <w:sz w:val="20"/>
          <w:szCs w:val="20"/>
        </w:rPr>
        <w:t xml:space="preserve">de </w:t>
      </w:r>
      <w:r>
        <w:rPr>
          <w:rFonts w:eastAsia="Calibri"/>
          <w:color w:val="000000" w:themeColor="text1"/>
          <w:sz w:val="20"/>
          <w:szCs w:val="20"/>
        </w:rPr>
        <w:t>Tlaxcala y sus Municipios.</w:t>
      </w:r>
    </w:p>
    <w:p w14:paraId="10E2B8D5" w14:textId="77777777" w:rsidR="00FD723E" w:rsidRDefault="00FD723E" w:rsidP="009C37B3">
      <w:pPr>
        <w:spacing w:line="360" w:lineRule="auto"/>
        <w:jc w:val="both"/>
        <w:rPr>
          <w:rFonts w:eastAsia="Calibri"/>
          <w:color w:val="000000" w:themeColor="text1"/>
          <w:sz w:val="20"/>
          <w:szCs w:val="20"/>
        </w:rPr>
      </w:pPr>
    </w:p>
    <w:p w14:paraId="016D5146" w14:textId="77777777" w:rsidR="00FD723E" w:rsidRDefault="00FD723E" w:rsidP="009C37B3">
      <w:pPr>
        <w:spacing w:line="360" w:lineRule="auto"/>
        <w:jc w:val="both"/>
        <w:rPr>
          <w:rFonts w:eastAsia="Calibri"/>
          <w:color w:val="000000" w:themeColor="text1"/>
          <w:sz w:val="20"/>
          <w:szCs w:val="20"/>
        </w:rPr>
      </w:pPr>
    </w:p>
    <w:p w14:paraId="77846748" w14:textId="77777777" w:rsidR="009C37B3" w:rsidRDefault="009C37B3" w:rsidP="009C37B3">
      <w:pPr>
        <w:spacing w:line="360" w:lineRule="auto"/>
        <w:jc w:val="both"/>
        <w:rPr>
          <w:rFonts w:eastAsia="Calibri"/>
          <w:b/>
          <w:bCs/>
          <w:sz w:val="20"/>
          <w:szCs w:val="20"/>
        </w:rPr>
      </w:pPr>
    </w:p>
    <w:p w14:paraId="2D7B33F0" w14:textId="2DA5E106" w:rsidR="009C37B3" w:rsidRDefault="009C37B3" w:rsidP="00D50246">
      <w:pPr>
        <w:pStyle w:val="Prrafodelista"/>
        <w:numPr>
          <w:ilvl w:val="0"/>
          <w:numId w:val="4"/>
        </w:numPr>
        <w:spacing w:line="360" w:lineRule="auto"/>
        <w:jc w:val="both"/>
        <w:rPr>
          <w:b/>
          <w:sz w:val="20"/>
          <w:szCs w:val="20"/>
        </w:rPr>
      </w:pPr>
      <w:r>
        <w:rPr>
          <w:rFonts w:eastAsia="Calibri"/>
          <w:b/>
          <w:bCs/>
          <w:sz w:val="20"/>
          <w:szCs w:val="20"/>
        </w:rPr>
        <w:lastRenderedPageBreak/>
        <w:t>PERSPECTIVAS ECONÓMICAS Y FISCALES DEL ESTADO DE TLAXCALA 202</w:t>
      </w:r>
      <w:r w:rsidR="00C66253">
        <w:rPr>
          <w:rFonts w:eastAsia="Calibri"/>
          <w:b/>
          <w:bCs/>
          <w:sz w:val="20"/>
          <w:szCs w:val="20"/>
        </w:rPr>
        <w:t>5</w:t>
      </w:r>
      <w:r>
        <w:rPr>
          <w:rFonts w:eastAsia="Calibri"/>
          <w:b/>
          <w:bCs/>
          <w:sz w:val="20"/>
          <w:szCs w:val="20"/>
        </w:rPr>
        <w:t>-20</w:t>
      </w:r>
      <w:r w:rsidR="00C66253">
        <w:rPr>
          <w:rFonts w:eastAsia="Calibri"/>
          <w:b/>
          <w:bCs/>
          <w:sz w:val="20"/>
          <w:szCs w:val="20"/>
        </w:rPr>
        <w:t>30</w:t>
      </w:r>
      <w:r>
        <w:rPr>
          <w:rFonts w:eastAsia="Calibri"/>
          <w:b/>
          <w:bCs/>
          <w:sz w:val="20"/>
          <w:szCs w:val="20"/>
        </w:rPr>
        <w:t>.</w:t>
      </w:r>
    </w:p>
    <w:p w14:paraId="6A843E8C" w14:textId="77777777" w:rsidR="009C37B3" w:rsidRDefault="009C37B3" w:rsidP="009C37B3">
      <w:pPr>
        <w:spacing w:line="360" w:lineRule="auto"/>
        <w:jc w:val="both"/>
        <w:rPr>
          <w:sz w:val="10"/>
          <w:szCs w:val="10"/>
        </w:rPr>
      </w:pPr>
    </w:p>
    <w:p w14:paraId="47FCB188" w14:textId="77777777" w:rsidR="00FD723E" w:rsidRPr="00FD723E" w:rsidRDefault="00FD723E" w:rsidP="00FD723E">
      <w:pPr>
        <w:spacing w:line="360" w:lineRule="auto"/>
        <w:jc w:val="both"/>
        <w:rPr>
          <w:sz w:val="20"/>
          <w:szCs w:val="20"/>
        </w:rPr>
      </w:pPr>
      <w:r w:rsidRPr="00FD723E">
        <w:rPr>
          <w:sz w:val="20"/>
          <w:szCs w:val="20"/>
        </w:rPr>
        <w:t>La Secretaría de Hacienda y Crédito Público anticipa que para el 2025 la economía mexicana continúe creciendo por arriba de su promedio histórico impulsada, principalmente, por una demanda interna sólida y un mercado laboral dinámico. Para el resto del año y en 2025, se prevé que el nivel del PIB proyectado seguirá creciendo, pero a un ritmo menor al observado en los años anteriores. Cabe destacar que las proyecciones del marco macroeconómico reflejan un escenario de tendencia inercial que no contempla efectos adicionales por alguna política pública en particular o el efecto puntual de tendencias globales como la relocalización de empresas, lo anterior es con base a Pre-Criterios Generales de Política Económica 2025.</w:t>
      </w:r>
    </w:p>
    <w:p w14:paraId="44339030" w14:textId="77777777" w:rsidR="00FD723E" w:rsidRPr="00FD723E" w:rsidRDefault="00FD723E" w:rsidP="00FD723E">
      <w:pPr>
        <w:spacing w:line="360" w:lineRule="auto"/>
        <w:jc w:val="both"/>
        <w:rPr>
          <w:sz w:val="20"/>
          <w:szCs w:val="20"/>
        </w:rPr>
      </w:pPr>
    </w:p>
    <w:p w14:paraId="092F5CDB" w14:textId="3865758D" w:rsidR="00FD723E" w:rsidRPr="00FD723E" w:rsidRDefault="00FD723E" w:rsidP="00FD723E">
      <w:pPr>
        <w:spacing w:line="360" w:lineRule="auto"/>
        <w:jc w:val="both"/>
        <w:rPr>
          <w:sz w:val="20"/>
          <w:szCs w:val="20"/>
        </w:rPr>
      </w:pPr>
      <w:r w:rsidRPr="00FD723E">
        <w:rPr>
          <w:sz w:val="20"/>
          <w:szCs w:val="20"/>
        </w:rPr>
        <w:t>Es por lo anterior que, el Gobierno del Estado ha implementado estrategias para</w:t>
      </w:r>
      <w:r w:rsidR="000E3253">
        <w:rPr>
          <w:sz w:val="20"/>
          <w:szCs w:val="20"/>
        </w:rPr>
        <w:t>,</w:t>
      </w:r>
      <w:r w:rsidRPr="00FD723E">
        <w:rPr>
          <w:sz w:val="20"/>
          <w:szCs w:val="20"/>
        </w:rPr>
        <w:t xml:space="preserve"> de alguna manera incrementar la recaudación fiscal, con el fin generar los recursos necesarios que financien el gasto público y lograr un balance presupuestario sostenible.</w:t>
      </w:r>
    </w:p>
    <w:p w14:paraId="7909E1BF" w14:textId="77777777" w:rsidR="00FD723E" w:rsidRPr="00FD723E" w:rsidRDefault="00FD723E" w:rsidP="00FD723E">
      <w:pPr>
        <w:spacing w:line="360" w:lineRule="auto"/>
        <w:jc w:val="both"/>
        <w:rPr>
          <w:sz w:val="20"/>
          <w:szCs w:val="20"/>
        </w:rPr>
      </w:pPr>
    </w:p>
    <w:p w14:paraId="076F328C" w14:textId="0B265254" w:rsidR="009C37B3" w:rsidRDefault="00FD723E" w:rsidP="00FD723E">
      <w:pPr>
        <w:spacing w:line="360" w:lineRule="auto"/>
        <w:jc w:val="both"/>
        <w:rPr>
          <w:sz w:val="20"/>
          <w:szCs w:val="20"/>
        </w:rPr>
      </w:pPr>
      <w:r w:rsidRPr="00FD723E">
        <w:rPr>
          <w:sz w:val="20"/>
          <w:szCs w:val="20"/>
        </w:rPr>
        <w:t>En el siguiente cuadro se presentan las perspectivas de finanzas públicas de mediano plazo para el Estado de Tlaxcala.</w:t>
      </w:r>
    </w:p>
    <w:p w14:paraId="4FF2E6DF" w14:textId="77777777" w:rsidR="009C37B3" w:rsidRDefault="009C37B3" w:rsidP="009C37B3">
      <w:pPr>
        <w:spacing w:line="360" w:lineRule="auto"/>
        <w:jc w:val="both"/>
        <w:rPr>
          <w:sz w:val="20"/>
          <w:szCs w:val="20"/>
        </w:rPr>
      </w:pPr>
    </w:p>
    <w:p w14:paraId="7CBA867A" w14:textId="15497ACE" w:rsidR="009C37B3" w:rsidRDefault="00117933" w:rsidP="009C37B3">
      <w:pPr>
        <w:spacing w:line="360" w:lineRule="auto"/>
        <w:jc w:val="both"/>
        <w:rPr>
          <w:sz w:val="20"/>
          <w:szCs w:val="20"/>
        </w:rPr>
      </w:pPr>
      <w:r w:rsidRPr="00117933">
        <w:rPr>
          <w:noProof/>
        </w:rPr>
        <w:lastRenderedPageBreak/>
        <w:drawing>
          <wp:inline distT="0" distB="0" distL="0" distR="0" wp14:anchorId="1A151B56" wp14:editId="2DEFDC1F">
            <wp:extent cx="5179695" cy="6875780"/>
            <wp:effectExtent l="0" t="0" r="190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9695" cy="6875780"/>
                    </a:xfrm>
                    <a:prstGeom prst="rect">
                      <a:avLst/>
                    </a:prstGeom>
                    <a:noFill/>
                    <a:ln>
                      <a:noFill/>
                    </a:ln>
                  </pic:spPr>
                </pic:pic>
              </a:graphicData>
            </a:graphic>
          </wp:inline>
        </w:drawing>
      </w:r>
    </w:p>
    <w:p w14:paraId="1AC5EB70" w14:textId="77777777" w:rsidR="009C37B3" w:rsidRDefault="009C37B3" w:rsidP="009C37B3">
      <w:pPr>
        <w:spacing w:line="360" w:lineRule="auto"/>
        <w:jc w:val="both"/>
        <w:rPr>
          <w:rFonts w:eastAsia="Calibri"/>
          <w:b/>
          <w:bCs/>
          <w:sz w:val="20"/>
          <w:szCs w:val="20"/>
        </w:rPr>
      </w:pPr>
    </w:p>
    <w:p w14:paraId="59D38BFF" w14:textId="77777777" w:rsidR="00FD723E" w:rsidRDefault="00FD723E" w:rsidP="009C37B3">
      <w:pPr>
        <w:spacing w:line="360" w:lineRule="auto"/>
        <w:jc w:val="both"/>
        <w:rPr>
          <w:rFonts w:eastAsia="Calibri"/>
          <w:b/>
          <w:bCs/>
          <w:sz w:val="20"/>
          <w:szCs w:val="20"/>
        </w:rPr>
      </w:pPr>
    </w:p>
    <w:p w14:paraId="35E5D791" w14:textId="77777777" w:rsidR="009C37B3" w:rsidRDefault="009C37B3" w:rsidP="00D50246">
      <w:pPr>
        <w:pStyle w:val="Prrafodelista"/>
        <w:numPr>
          <w:ilvl w:val="0"/>
          <w:numId w:val="4"/>
        </w:numPr>
        <w:spacing w:line="360" w:lineRule="auto"/>
        <w:jc w:val="both"/>
        <w:rPr>
          <w:rFonts w:eastAsia="Calibri"/>
          <w:b/>
          <w:bCs/>
          <w:sz w:val="20"/>
          <w:szCs w:val="20"/>
        </w:rPr>
      </w:pPr>
      <w:r>
        <w:rPr>
          <w:rFonts w:eastAsia="Calibri"/>
          <w:b/>
          <w:bCs/>
          <w:sz w:val="20"/>
          <w:szCs w:val="20"/>
        </w:rPr>
        <w:lastRenderedPageBreak/>
        <w:t>RIESGOS FISCALES</w:t>
      </w:r>
    </w:p>
    <w:p w14:paraId="4D8BB223" w14:textId="77777777" w:rsidR="009C37B3" w:rsidRDefault="009C37B3" w:rsidP="009C37B3">
      <w:pPr>
        <w:spacing w:line="360" w:lineRule="auto"/>
        <w:jc w:val="both"/>
        <w:rPr>
          <w:rFonts w:eastAsia="Calibri"/>
          <w:b/>
          <w:bCs/>
          <w:sz w:val="20"/>
          <w:szCs w:val="20"/>
        </w:rPr>
      </w:pPr>
    </w:p>
    <w:p w14:paraId="033DC81A" w14:textId="609013E1" w:rsidR="009C37B3" w:rsidRDefault="00FD723E" w:rsidP="009C37B3">
      <w:pPr>
        <w:spacing w:line="360" w:lineRule="auto"/>
        <w:jc w:val="both"/>
        <w:rPr>
          <w:sz w:val="20"/>
          <w:szCs w:val="20"/>
        </w:rPr>
      </w:pPr>
      <w:r w:rsidRPr="00FD723E">
        <w:rPr>
          <w:sz w:val="20"/>
          <w:szCs w:val="20"/>
        </w:rPr>
        <w:t xml:space="preserve">A </w:t>
      </w:r>
      <w:proofErr w:type="gramStart"/>
      <w:r w:rsidRPr="00FD723E">
        <w:rPr>
          <w:sz w:val="20"/>
          <w:szCs w:val="20"/>
        </w:rPr>
        <w:t>continuación</w:t>
      </w:r>
      <w:proofErr w:type="gramEnd"/>
      <w:r w:rsidRPr="00FD723E">
        <w:rPr>
          <w:sz w:val="20"/>
          <w:szCs w:val="20"/>
        </w:rPr>
        <w:t xml:space="preserve"> presentamos los Riesgos al escenario de pronósticos de las principales variables para 2024 y 2025.</w:t>
      </w:r>
    </w:p>
    <w:p w14:paraId="33262B6F" w14:textId="77777777" w:rsidR="009C37B3" w:rsidRDefault="009C37B3" w:rsidP="009C37B3">
      <w:pPr>
        <w:spacing w:line="360" w:lineRule="auto"/>
        <w:jc w:val="both"/>
        <w:rPr>
          <w:rFonts w:eastAsia="Calibri"/>
          <w:color w:val="000000" w:themeColor="text1"/>
          <w:sz w:val="20"/>
          <w:szCs w:val="20"/>
        </w:rPr>
      </w:pPr>
    </w:p>
    <w:p w14:paraId="69D8400E" w14:textId="6164611F" w:rsidR="00FD723E" w:rsidRPr="00117933" w:rsidRDefault="00FD723E" w:rsidP="009C37B3">
      <w:pPr>
        <w:spacing w:line="360" w:lineRule="auto"/>
        <w:jc w:val="both"/>
        <w:rPr>
          <w:rFonts w:eastAsia="Calibri"/>
          <w:color w:val="000000" w:themeColor="text1"/>
          <w:sz w:val="20"/>
          <w:szCs w:val="20"/>
        </w:rPr>
      </w:pPr>
      <w:r>
        <w:rPr>
          <w:noProof/>
          <w:lang w:val="es-MX" w:eastAsia="es-MX"/>
        </w:rPr>
        <w:drawing>
          <wp:inline distT="0" distB="0" distL="0" distR="0" wp14:anchorId="2D5F8B63" wp14:editId="7D0B4A4F">
            <wp:extent cx="4877171" cy="4648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121" t="20708" r="30766" b="10422"/>
                    <a:stretch/>
                  </pic:blipFill>
                  <pic:spPr bwMode="auto">
                    <a:xfrm>
                      <a:off x="0" y="0"/>
                      <a:ext cx="4882258" cy="4653049"/>
                    </a:xfrm>
                    <a:prstGeom prst="rect">
                      <a:avLst/>
                    </a:prstGeom>
                    <a:ln>
                      <a:noFill/>
                    </a:ln>
                    <a:extLst>
                      <a:ext uri="{53640926-AAD7-44D8-BBD7-CCE9431645EC}">
                        <a14:shadowObscured xmlns:a14="http://schemas.microsoft.com/office/drawing/2010/main"/>
                      </a:ext>
                    </a:extLst>
                  </pic:spPr>
                </pic:pic>
              </a:graphicData>
            </a:graphic>
          </wp:inline>
        </w:drawing>
      </w:r>
      <w:r w:rsidR="00117933" w:rsidRPr="00117933">
        <w:rPr>
          <w:bCs/>
          <w:sz w:val="16"/>
          <w:szCs w:val="16"/>
        </w:rPr>
        <w:t xml:space="preserve">Fuente: Pre-Criterios Generales de Política Económica 2025 </w:t>
      </w:r>
    </w:p>
    <w:p w14:paraId="5CC3044D" w14:textId="77777777" w:rsidR="00117933" w:rsidRDefault="00117933" w:rsidP="009C37B3">
      <w:pPr>
        <w:spacing w:line="360" w:lineRule="auto"/>
        <w:jc w:val="both"/>
        <w:rPr>
          <w:b/>
          <w:sz w:val="20"/>
          <w:szCs w:val="20"/>
        </w:rPr>
      </w:pPr>
    </w:p>
    <w:p w14:paraId="5A5D1564" w14:textId="352EBADA" w:rsidR="009C37B3" w:rsidRDefault="009C37B3" w:rsidP="009C37B3">
      <w:pPr>
        <w:spacing w:line="360" w:lineRule="auto"/>
        <w:jc w:val="both"/>
        <w:rPr>
          <w:b/>
          <w:sz w:val="20"/>
          <w:szCs w:val="20"/>
        </w:rPr>
      </w:pPr>
      <w:r>
        <w:rPr>
          <w:b/>
          <w:sz w:val="20"/>
          <w:szCs w:val="20"/>
        </w:rPr>
        <w:t>Pensiones y Jubilaciones</w:t>
      </w:r>
    </w:p>
    <w:p w14:paraId="400A95E3" w14:textId="77777777" w:rsidR="009C37B3" w:rsidRDefault="009C37B3" w:rsidP="009C37B3">
      <w:pPr>
        <w:spacing w:line="360" w:lineRule="auto"/>
        <w:jc w:val="both"/>
        <w:rPr>
          <w:b/>
          <w:sz w:val="20"/>
          <w:szCs w:val="20"/>
        </w:rPr>
      </w:pPr>
    </w:p>
    <w:p w14:paraId="71250944" w14:textId="77777777" w:rsidR="009C37B3" w:rsidRDefault="009C37B3" w:rsidP="009C37B3">
      <w:pPr>
        <w:spacing w:line="360" w:lineRule="auto"/>
        <w:jc w:val="both"/>
        <w:rPr>
          <w:sz w:val="20"/>
          <w:szCs w:val="20"/>
        </w:rPr>
      </w:pPr>
      <w:r>
        <w:rPr>
          <w:sz w:val="20"/>
          <w:szCs w:val="20"/>
        </w:rPr>
        <w:t xml:space="preserve">Pensiones Civiles del Estado de Tlaxcala es un Organismo Público Descentralizado, con personalidad jurídica y patrimonio propio; su organización y funcionamiento se rigen por su propia Ley, y tiene por objeto, establecer un régimen de protección económica a los servidores públicos de los tres Poderes </w:t>
      </w:r>
      <w:r>
        <w:rPr>
          <w:sz w:val="20"/>
          <w:szCs w:val="20"/>
        </w:rPr>
        <w:lastRenderedPageBreak/>
        <w:t>del Estado de Tlaxcala, los municipios y las entidades de la administración pública estatal que coticen a la Institución, así como, a los jubilados y pensionados.</w:t>
      </w:r>
    </w:p>
    <w:p w14:paraId="34E173CF" w14:textId="77777777" w:rsidR="009C37B3" w:rsidRDefault="009C37B3" w:rsidP="009C37B3">
      <w:pPr>
        <w:spacing w:line="360" w:lineRule="auto"/>
        <w:jc w:val="both"/>
        <w:rPr>
          <w:sz w:val="20"/>
          <w:szCs w:val="20"/>
        </w:rPr>
      </w:pPr>
    </w:p>
    <w:p w14:paraId="48249AA6" w14:textId="77777777" w:rsidR="009C37B3" w:rsidRDefault="009C37B3" w:rsidP="009C37B3">
      <w:pPr>
        <w:spacing w:line="360" w:lineRule="auto"/>
        <w:jc w:val="both"/>
        <w:rPr>
          <w:sz w:val="20"/>
          <w:szCs w:val="20"/>
        </w:rPr>
      </w:pPr>
      <w:r>
        <w:rPr>
          <w:sz w:val="20"/>
          <w:szCs w:val="20"/>
        </w:rPr>
        <w:t>En el año 1958 surge la Dirección de Pensiones Civiles del Estado de Tlaxcala, y se emitió la Ley de la materia, que contienen las prestaciones originales: Pensiones directas para los trabajadores, obtención de préstamos a corto plazo, obtención de préstamos hipotecarios, lograr en propiedad o arrendamiento casas o terrenos propiedad de la Dirección de Pensiones Civiles y devolución de los descuentos hechos a funcionarios o empleados comprometidos en la Ley de Pensiones Civiles cuando los mismos se separen del servicio.</w:t>
      </w:r>
    </w:p>
    <w:p w14:paraId="3F4DB2F6" w14:textId="77777777" w:rsidR="009C37B3" w:rsidRDefault="009C37B3" w:rsidP="009C37B3">
      <w:pPr>
        <w:spacing w:line="360" w:lineRule="auto"/>
        <w:jc w:val="both"/>
        <w:rPr>
          <w:sz w:val="20"/>
          <w:szCs w:val="20"/>
        </w:rPr>
      </w:pPr>
    </w:p>
    <w:p w14:paraId="22D76D59" w14:textId="77777777" w:rsidR="009C37B3" w:rsidRDefault="009C37B3" w:rsidP="009C37B3">
      <w:pPr>
        <w:spacing w:line="360" w:lineRule="auto"/>
        <w:jc w:val="both"/>
        <w:rPr>
          <w:sz w:val="20"/>
          <w:szCs w:val="20"/>
        </w:rPr>
      </w:pPr>
      <w:r>
        <w:rPr>
          <w:sz w:val="20"/>
          <w:szCs w:val="20"/>
        </w:rPr>
        <w:t>En el año 1974, se emitió una nueva Ley de Pensiones para el Estado de Tlaxcala, la cual adicionó a su contenido el Seguro de Vida.</w:t>
      </w:r>
    </w:p>
    <w:p w14:paraId="3D8AAAFA" w14:textId="77777777" w:rsidR="009C37B3" w:rsidRDefault="009C37B3" w:rsidP="009C37B3">
      <w:pPr>
        <w:spacing w:line="360" w:lineRule="auto"/>
        <w:jc w:val="both"/>
        <w:rPr>
          <w:sz w:val="20"/>
          <w:szCs w:val="20"/>
        </w:rPr>
      </w:pPr>
    </w:p>
    <w:p w14:paraId="0BCE02C7" w14:textId="43604019" w:rsidR="009C37B3" w:rsidRDefault="009C37B3" w:rsidP="009C37B3">
      <w:pPr>
        <w:spacing w:line="360" w:lineRule="auto"/>
        <w:jc w:val="both"/>
        <w:rPr>
          <w:sz w:val="20"/>
          <w:szCs w:val="20"/>
        </w:rPr>
      </w:pPr>
      <w:r>
        <w:rPr>
          <w:sz w:val="20"/>
          <w:szCs w:val="20"/>
        </w:rPr>
        <w:t>Posteriormente para el año de 1984, se emitió una Ley, la cual presenta cambios notables en cuanto a prest</w:t>
      </w:r>
      <w:r w:rsidR="001445BD">
        <w:rPr>
          <w:sz w:val="20"/>
          <w:szCs w:val="20"/>
        </w:rPr>
        <w:t>aciones siendo las siguientes: j</w:t>
      </w:r>
      <w:r>
        <w:rPr>
          <w:sz w:val="20"/>
          <w:szCs w:val="20"/>
        </w:rPr>
        <w:t xml:space="preserve">ubilación, </w:t>
      </w:r>
      <w:r w:rsidR="001445BD">
        <w:rPr>
          <w:sz w:val="20"/>
          <w:szCs w:val="20"/>
        </w:rPr>
        <w:t>seguro de v</w:t>
      </w:r>
      <w:r>
        <w:rPr>
          <w:sz w:val="20"/>
          <w:szCs w:val="20"/>
        </w:rPr>
        <w:t xml:space="preserve">ida, </w:t>
      </w:r>
      <w:r w:rsidR="001445BD">
        <w:rPr>
          <w:sz w:val="20"/>
          <w:szCs w:val="20"/>
        </w:rPr>
        <w:t>p</w:t>
      </w:r>
      <w:r>
        <w:rPr>
          <w:sz w:val="20"/>
          <w:szCs w:val="20"/>
        </w:rPr>
        <w:t>ensión de vejez, pensión por muerte, pago de póstumo a los servidores públicos, pensionados y jubilados, préstamo a corto plazo, préstamo hipotecario, crédito para adquisición de casa o terreno para su construcción destinada a la habitación familiar del servidor público.</w:t>
      </w:r>
    </w:p>
    <w:p w14:paraId="794D4A7B" w14:textId="77777777" w:rsidR="009C37B3" w:rsidRDefault="009C37B3" w:rsidP="009C37B3">
      <w:pPr>
        <w:spacing w:line="360" w:lineRule="auto"/>
        <w:jc w:val="both"/>
        <w:rPr>
          <w:sz w:val="20"/>
          <w:szCs w:val="20"/>
        </w:rPr>
      </w:pPr>
    </w:p>
    <w:p w14:paraId="252F47BF" w14:textId="77777777" w:rsidR="009C37B3" w:rsidRDefault="009C37B3" w:rsidP="009C37B3">
      <w:pPr>
        <w:spacing w:line="360" w:lineRule="auto"/>
        <w:jc w:val="both"/>
        <w:rPr>
          <w:sz w:val="20"/>
          <w:szCs w:val="20"/>
        </w:rPr>
      </w:pPr>
      <w:r>
        <w:rPr>
          <w:sz w:val="20"/>
          <w:szCs w:val="20"/>
        </w:rPr>
        <w:t xml:space="preserve">Después de algunas vicisitudes en el año 2013, entró en vigor la nueva Ley de Pensiones Civiles del Estado de Tlaxcala, producto de depurar las prestaciones y servicios que proporciona la Institución, establece un proyecto innovador el cual consiste en dos regímenes pensionarios debidamente limitados siendo los siguientes: </w:t>
      </w:r>
    </w:p>
    <w:p w14:paraId="21E035FE" w14:textId="77777777" w:rsidR="009C37B3" w:rsidRDefault="009C37B3" w:rsidP="009C37B3">
      <w:pPr>
        <w:spacing w:line="360" w:lineRule="auto"/>
        <w:jc w:val="both"/>
        <w:rPr>
          <w:sz w:val="20"/>
          <w:szCs w:val="20"/>
        </w:rPr>
      </w:pPr>
    </w:p>
    <w:p w14:paraId="31840F51" w14:textId="77777777" w:rsidR="009C37B3" w:rsidRDefault="009C37B3" w:rsidP="00D50246">
      <w:pPr>
        <w:pStyle w:val="Prrafodelista"/>
        <w:numPr>
          <w:ilvl w:val="0"/>
          <w:numId w:val="10"/>
        </w:numPr>
        <w:spacing w:line="360" w:lineRule="auto"/>
        <w:jc w:val="both"/>
        <w:rPr>
          <w:sz w:val="20"/>
          <w:szCs w:val="20"/>
        </w:rPr>
      </w:pPr>
      <w:r>
        <w:rPr>
          <w:sz w:val="20"/>
          <w:szCs w:val="20"/>
        </w:rPr>
        <w:t>Libro A: Régimen Temporal de Reparto</w:t>
      </w:r>
    </w:p>
    <w:p w14:paraId="324C5930" w14:textId="77777777" w:rsidR="009C37B3" w:rsidRDefault="009C37B3" w:rsidP="00D50246">
      <w:pPr>
        <w:pStyle w:val="Prrafodelista"/>
        <w:numPr>
          <w:ilvl w:val="0"/>
          <w:numId w:val="10"/>
        </w:numPr>
        <w:spacing w:line="360" w:lineRule="auto"/>
        <w:jc w:val="both"/>
        <w:rPr>
          <w:sz w:val="20"/>
          <w:szCs w:val="20"/>
        </w:rPr>
      </w:pPr>
      <w:r>
        <w:rPr>
          <w:sz w:val="20"/>
          <w:szCs w:val="20"/>
        </w:rPr>
        <w:t>Libro B: Régimen Permanente de Ahorro Personal</w:t>
      </w:r>
    </w:p>
    <w:p w14:paraId="36065A35" w14:textId="77777777" w:rsidR="009C37B3" w:rsidRDefault="009C37B3" w:rsidP="009C37B3">
      <w:pPr>
        <w:spacing w:line="360" w:lineRule="auto"/>
        <w:jc w:val="both"/>
        <w:rPr>
          <w:sz w:val="20"/>
          <w:szCs w:val="20"/>
        </w:rPr>
      </w:pPr>
    </w:p>
    <w:p w14:paraId="2CBF7FF1" w14:textId="77777777" w:rsidR="009C37B3" w:rsidRDefault="009C37B3" w:rsidP="009C37B3">
      <w:pPr>
        <w:spacing w:line="360" w:lineRule="auto"/>
        <w:jc w:val="both"/>
        <w:rPr>
          <w:sz w:val="20"/>
          <w:szCs w:val="20"/>
        </w:rPr>
      </w:pPr>
      <w:r>
        <w:rPr>
          <w:sz w:val="20"/>
          <w:szCs w:val="20"/>
        </w:rPr>
        <w:t>A pesar de las diferentes medidas de los anteriores gobiernos para que no se paralicen las funciones que le dan identidad a la Institución y los derechohabientes continúen siendo atendidos hasta en tanto las condiciones económicas del Estado de Tlaxcala lo hayan permitido; no han sido suficientes los esfuerzos y medidas tomadas.</w:t>
      </w:r>
    </w:p>
    <w:p w14:paraId="499C0E7A" w14:textId="77777777" w:rsidR="009C37B3" w:rsidRDefault="009C37B3" w:rsidP="009C37B3">
      <w:pPr>
        <w:spacing w:line="360" w:lineRule="auto"/>
        <w:jc w:val="both"/>
        <w:rPr>
          <w:sz w:val="20"/>
          <w:szCs w:val="20"/>
        </w:rPr>
      </w:pPr>
    </w:p>
    <w:p w14:paraId="02E43491" w14:textId="77777777" w:rsidR="009C37B3" w:rsidRDefault="009C37B3" w:rsidP="009C37B3">
      <w:pPr>
        <w:spacing w:line="360" w:lineRule="auto"/>
        <w:jc w:val="both"/>
        <w:rPr>
          <w:sz w:val="20"/>
          <w:szCs w:val="20"/>
        </w:rPr>
      </w:pPr>
      <w:r>
        <w:rPr>
          <w:sz w:val="20"/>
          <w:szCs w:val="20"/>
        </w:rPr>
        <w:t xml:space="preserve">En años recientes, la población en edad de pensionarse crece a una tasa mayor que la población más joven en nuestro país. Esta transición demográfica representa un reto para la sostenibilidad de las </w:t>
      </w:r>
      <w:r>
        <w:rPr>
          <w:sz w:val="20"/>
          <w:szCs w:val="20"/>
        </w:rPr>
        <w:lastRenderedPageBreak/>
        <w:t>finanzas públicas, debido al incremento esperado en el gasto en pensiones y en salud asociado al crecimiento de la población de mayor edad.</w:t>
      </w:r>
    </w:p>
    <w:p w14:paraId="07C154C7" w14:textId="77777777" w:rsidR="009C37B3" w:rsidRDefault="009C37B3" w:rsidP="009C37B3">
      <w:pPr>
        <w:spacing w:line="360" w:lineRule="auto"/>
        <w:jc w:val="both"/>
        <w:rPr>
          <w:sz w:val="20"/>
          <w:szCs w:val="20"/>
        </w:rPr>
      </w:pPr>
    </w:p>
    <w:p w14:paraId="1EDE0F51" w14:textId="5347695A" w:rsidR="009C37B3" w:rsidRDefault="009C37B3" w:rsidP="009C37B3">
      <w:pPr>
        <w:spacing w:line="360" w:lineRule="auto"/>
        <w:jc w:val="both"/>
        <w:rPr>
          <w:sz w:val="20"/>
          <w:szCs w:val="20"/>
        </w:rPr>
      </w:pPr>
      <w:r>
        <w:rPr>
          <w:sz w:val="20"/>
          <w:szCs w:val="20"/>
        </w:rPr>
        <w:t>Por todo lo anterior, para este Proyecto de Presupuesto 202</w:t>
      </w:r>
      <w:r w:rsidR="005B7B02">
        <w:rPr>
          <w:sz w:val="20"/>
          <w:szCs w:val="20"/>
        </w:rPr>
        <w:t>5</w:t>
      </w:r>
      <w:r>
        <w:rPr>
          <w:sz w:val="20"/>
          <w:szCs w:val="20"/>
        </w:rPr>
        <w:t xml:space="preserve">, se considera un </w:t>
      </w:r>
      <w:proofErr w:type="spellStart"/>
      <w:r>
        <w:rPr>
          <w:sz w:val="20"/>
          <w:szCs w:val="20"/>
        </w:rPr>
        <w:t>un</w:t>
      </w:r>
      <w:proofErr w:type="spellEnd"/>
      <w:r>
        <w:rPr>
          <w:sz w:val="20"/>
          <w:szCs w:val="20"/>
        </w:rPr>
        <w:t xml:space="preserve"> Fondo para el Fortalecimiento de Pensiones Civiles de </w:t>
      </w:r>
      <w:r w:rsidR="001A7C12">
        <w:rPr>
          <w:sz w:val="20"/>
          <w:szCs w:val="20"/>
        </w:rPr>
        <w:t>30</w:t>
      </w:r>
      <w:r>
        <w:rPr>
          <w:sz w:val="20"/>
          <w:szCs w:val="20"/>
        </w:rPr>
        <w:t xml:space="preserve"> </w:t>
      </w:r>
      <w:proofErr w:type="spellStart"/>
      <w:r>
        <w:rPr>
          <w:sz w:val="20"/>
          <w:szCs w:val="20"/>
        </w:rPr>
        <w:t>mdp</w:t>
      </w:r>
      <w:proofErr w:type="spellEnd"/>
      <w:r>
        <w:rPr>
          <w:sz w:val="20"/>
          <w:szCs w:val="20"/>
        </w:rPr>
        <w:t xml:space="preserve"> a través de la Oficialía Mayor de Gobierno, dicho fondo estará sujeto a que se cumplan los pronósticos de ingresos y recaudación de la Secretaría de Hacienda y Crédito Público y el Estado reciba los recursos de participaciones federales.</w:t>
      </w:r>
    </w:p>
    <w:p w14:paraId="47FE69A9" w14:textId="77777777" w:rsidR="009C37B3" w:rsidRDefault="009C37B3" w:rsidP="009C37B3">
      <w:pPr>
        <w:spacing w:line="360" w:lineRule="auto"/>
        <w:jc w:val="both"/>
        <w:rPr>
          <w:sz w:val="20"/>
          <w:szCs w:val="20"/>
        </w:rPr>
      </w:pPr>
    </w:p>
    <w:p w14:paraId="062861C9" w14:textId="7E2A0137" w:rsidR="009C37B3" w:rsidRDefault="00FD723E" w:rsidP="009C37B3">
      <w:pPr>
        <w:spacing w:line="360" w:lineRule="auto"/>
        <w:jc w:val="both"/>
        <w:rPr>
          <w:sz w:val="20"/>
          <w:szCs w:val="20"/>
        </w:rPr>
      </w:pPr>
      <w:r w:rsidRPr="00FD723E">
        <w:rPr>
          <w:sz w:val="20"/>
          <w:szCs w:val="20"/>
        </w:rPr>
        <w:t xml:space="preserve">De acuerdo al último estudio actuarial de las pensiones del Estado de </w:t>
      </w:r>
      <w:proofErr w:type="gramStart"/>
      <w:r w:rsidRPr="00FD723E">
        <w:rPr>
          <w:sz w:val="20"/>
          <w:szCs w:val="20"/>
        </w:rPr>
        <w:t>Tlaxcala ,</w:t>
      </w:r>
      <w:proofErr w:type="gramEnd"/>
      <w:r w:rsidRPr="00FD723E">
        <w:rPr>
          <w:sz w:val="20"/>
          <w:szCs w:val="20"/>
        </w:rPr>
        <w:t xml:space="preserve"> correspondiente al ejercicio fiscal 2024 y con una vigencia al ejercicio 2028 se tiene una reserva actuarial de 422.23 MDP, con una población afiliada activa de 9,149 trabajadores y 2,352 pensionados, como a continuación se presenta</w:t>
      </w:r>
      <w:r w:rsidR="009C37B3">
        <w:rPr>
          <w:sz w:val="20"/>
          <w:szCs w:val="20"/>
        </w:rPr>
        <w:t>:</w:t>
      </w:r>
    </w:p>
    <w:p w14:paraId="563C0EAC" w14:textId="77777777" w:rsidR="009C37B3" w:rsidRDefault="009C37B3" w:rsidP="009C37B3">
      <w:pPr>
        <w:spacing w:line="360" w:lineRule="auto"/>
        <w:jc w:val="center"/>
        <w:rPr>
          <w:rFonts w:ascii="Arial" w:hAnsi="Arial" w:cs="Arial"/>
          <w:b/>
        </w:rPr>
      </w:pPr>
    </w:p>
    <w:p w14:paraId="590BAE3B" w14:textId="77777777" w:rsidR="009C37B3" w:rsidRDefault="009C37B3" w:rsidP="009C37B3">
      <w:pPr>
        <w:spacing w:line="360" w:lineRule="auto"/>
        <w:jc w:val="center"/>
        <w:rPr>
          <w:b/>
          <w:sz w:val="20"/>
          <w:szCs w:val="20"/>
        </w:rPr>
      </w:pPr>
      <w:r>
        <w:rPr>
          <w:b/>
          <w:sz w:val="20"/>
          <w:szCs w:val="20"/>
        </w:rPr>
        <w:t>Estudio Actuarial de Pensiones</w:t>
      </w:r>
    </w:p>
    <w:p w14:paraId="3027EDCB" w14:textId="69D6D879" w:rsidR="009C37B3" w:rsidRDefault="00FD723E" w:rsidP="009C37B3">
      <w:pPr>
        <w:spacing w:line="360" w:lineRule="auto"/>
        <w:jc w:val="center"/>
        <w:rPr>
          <w:rFonts w:ascii="Arial" w:hAnsi="Arial" w:cs="Arial"/>
          <w:b/>
        </w:rPr>
      </w:pPr>
      <w:r>
        <w:rPr>
          <w:noProof/>
          <w:lang w:val="es-MX" w:eastAsia="es-MX"/>
        </w:rPr>
        <w:drawing>
          <wp:inline distT="0" distB="0" distL="0" distR="0" wp14:anchorId="723B92F7" wp14:editId="7281F4FB">
            <wp:extent cx="4616638" cy="3248167"/>
            <wp:effectExtent l="0" t="0" r="0" b="9525"/>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04185" name=""/>
                    <pic:cNvPicPr/>
                  </pic:nvPicPr>
                  <pic:blipFill rotWithShape="1">
                    <a:blip r:embed="rId23"/>
                    <a:srcRect l="26393" t="32857" r="32684" b="15952"/>
                    <a:stretch/>
                  </pic:blipFill>
                  <pic:spPr bwMode="auto">
                    <a:xfrm>
                      <a:off x="0" y="0"/>
                      <a:ext cx="4693625" cy="3302333"/>
                    </a:xfrm>
                    <a:prstGeom prst="rect">
                      <a:avLst/>
                    </a:prstGeom>
                    <a:ln>
                      <a:noFill/>
                    </a:ln>
                    <a:extLst>
                      <a:ext uri="{53640926-AAD7-44D8-BBD7-CCE9431645EC}">
                        <a14:shadowObscured xmlns:a14="http://schemas.microsoft.com/office/drawing/2010/main"/>
                      </a:ext>
                    </a:extLst>
                  </pic:spPr>
                </pic:pic>
              </a:graphicData>
            </a:graphic>
          </wp:inline>
        </w:drawing>
      </w:r>
    </w:p>
    <w:p w14:paraId="5B3FC067" w14:textId="260A425F" w:rsidR="00FD723E" w:rsidRDefault="00FD723E" w:rsidP="009C37B3">
      <w:pPr>
        <w:spacing w:line="360" w:lineRule="auto"/>
        <w:jc w:val="center"/>
        <w:rPr>
          <w:rFonts w:ascii="Arial" w:hAnsi="Arial" w:cs="Arial"/>
          <w:b/>
        </w:rPr>
      </w:pPr>
      <w:r>
        <w:rPr>
          <w:noProof/>
          <w:lang w:val="es-MX" w:eastAsia="es-MX"/>
        </w:rPr>
        <w:lastRenderedPageBreak/>
        <w:drawing>
          <wp:inline distT="0" distB="0" distL="0" distR="0" wp14:anchorId="72A0F779" wp14:editId="2442C94E">
            <wp:extent cx="4618055" cy="2442950"/>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64259" name=""/>
                    <pic:cNvPicPr/>
                  </pic:nvPicPr>
                  <pic:blipFill rotWithShape="1">
                    <a:blip r:embed="rId24"/>
                    <a:srcRect l="27583" t="31385" r="25616" b="23824"/>
                    <a:stretch/>
                  </pic:blipFill>
                  <pic:spPr bwMode="auto">
                    <a:xfrm>
                      <a:off x="0" y="0"/>
                      <a:ext cx="4647789" cy="2458679"/>
                    </a:xfrm>
                    <a:prstGeom prst="rect">
                      <a:avLst/>
                    </a:prstGeom>
                    <a:ln>
                      <a:noFill/>
                    </a:ln>
                    <a:extLst>
                      <a:ext uri="{53640926-AAD7-44D8-BBD7-CCE9431645EC}">
                        <a14:shadowObscured xmlns:a14="http://schemas.microsoft.com/office/drawing/2010/main"/>
                      </a:ext>
                    </a:extLst>
                  </pic:spPr>
                </pic:pic>
              </a:graphicData>
            </a:graphic>
          </wp:inline>
        </w:drawing>
      </w:r>
    </w:p>
    <w:p w14:paraId="5FF13C7E" w14:textId="28CACB4F" w:rsidR="00FD723E" w:rsidRDefault="00FD723E" w:rsidP="009C37B3">
      <w:pPr>
        <w:spacing w:line="360" w:lineRule="auto"/>
        <w:jc w:val="center"/>
        <w:rPr>
          <w:rFonts w:ascii="Arial" w:hAnsi="Arial" w:cs="Arial"/>
          <w:b/>
        </w:rPr>
      </w:pPr>
      <w:r>
        <w:rPr>
          <w:noProof/>
          <w:lang w:val="es-MX" w:eastAsia="es-MX"/>
        </w:rPr>
        <w:drawing>
          <wp:inline distT="0" distB="0" distL="0" distR="0" wp14:anchorId="06E661FB" wp14:editId="4F498A36">
            <wp:extent cx="4901450" cy="2047164"/>
            <wp:effectExtent l="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85723" name=""/>
                    <pic:cNvPicPr/>
                  </pic:nvPicPr>
                  <pic:blipFill rotWithShape="1">
                    <a:blip r:embed="rId25"/>
                    <a:srcRect l="14326" t="31386" r="19367" b="26865"/>
                    <a:stretch/>
                  </pic:blipFill>
                  <pic:spPr bwMode="auto">
                    <a:xfrm>
                      <a:off x="0" y="0"/>
                      <a:ext cx="4941847" cy="2064037"/>
                    </a:xfrm>
                    <a:prstGeom prst="rect">
                      <a:avLst/>
                    </a:prstGeom>
                    <a:ln>
                      <a:noFill/>
                    </a:ln>
                    <a:extLst>
                      <a:ext uri="{53640926-AAD7-44D8-BBD7-CCE9431645EC}">
                        <a14:shadowObscured xmlns:a14="http://schemas.microsoft.com/office/drawing/2010/main"/>
                      </a:ext>
                    </a:extLst>
                  </pic:spPr>
                </pic:pic>
              </a:graphicData>
            </a:graphic>
          </wp:inline>
        </w:drawing>
      </w:r>
    </w:p>
    <w:p w14:paraId="77FA30D6" w14:textId="1C49F1B3" w:rsidR="00FD723E" w:rsidRDefault="00FD723E" w:rsidP="009C37B3">
      <w:pPr>
        <w:spacing w:line="360" w:lineRule="auto"/>
        <w:jc w:val="center"/>
        <w:rPr>
          <w:rFonts w:ascii="Arial" w:hAnsi="Arial" w:cs="Arial"/>
          <w:b/>
        </w:rPr>
      </w:pPr>
      <w:r>
        <w:rPr>
          <w:noProof/>
          <w:lang w:val="es-MX" w:eastAsia="es-MX"/>
        </w:rPr>
        <w:drawing>
          <wp:inline distT="0" distB="0" distL="0" distR="0" wp14:anchorId="5BCA14C7" wp14:editId="728BEB55">
            <wp:extent cx="4824484" cy="1629157"/>
            <wp:effectExtent l="0" t="0" r="0" b="9525"/>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90796" name=""/>
                    <pic:cNvPicPr/>
                  </pic:nvPicPr>
                  <pic:blipFill rotWithShape="1">
                    <a:blip r:embed="rId26"/>
                    <a:srcRect l="14330" t="45895" r="36345" b="24491"/>
                    <a:stretch/>
                  </pic:blipFill>
                  <pic:spPr bwMode="auto">
                    <a:xfrm>
                      <a:off x="0" y="0"/>
                      <a:ext cx="4946339" cy="1670306"/>
                    </a:xfrm>
                    <a:prstGeom prst="rect">
                      <a:avLst/>
                    </a:prstGeom>
                    <a:ln>
                      <a:noFill/>
                    </a:ln>
                    <a:extLst>
                      <a:ext uri="{53640926-AAD7-44D8-BBD7-CCE9431645EC}">
                        <a14:shadowObscured xmlns:a14="http://schemas.microsoft.com/office/drawing/2010/main"/>
                      </a:ext>
                    </a:extLst>
                  </pic:spPr>
                </pic:pic>
              </a:graphicData>
            </a:graphic>
          </wp:inline>
        </w:drawing>
      </w:r>
    </w:p>
    <w:p w14:paraId="06DA4EDB" w14:textId="77777777" w:rsidR="009C37B3" w:rsidRDefault="009C37B3" w:rsidP="009C37B3">
      <w:pPr>
        <w:spacing w:line="360" w:lineRule="auto"/>
        <w:jc w:val="both"/>
        <w:rPr>
          <w:rFonts w:ascii="Arial" w:hAnsi="Arial" w:cs="Arial"/>
        </w:rPr>
      </w:pPr>
    </w:p>
    <w:p w14:paraId="000FCD54" w14:textId="6AE7DE1C" w:rsidR="009C37B3" w:rsidRDefault="009C37B3" w:rsidP="009C37B3">
      <w:pPr>
        <w:spacing w:line="360" w:lineRule="auto"/>
        <w:jc w:val="both"/>
        <w:rPr>
          <w:rFonts w:ascii="Arial" w:hAnsi="Arial" w:cs="Arial"/>
        </w:rPr>
      </w:pPr>
    </w:p>
    <w:p w14:paraId="7944B19B" w14:textId="5C40D00E" w:rsidR="009C37B3" w:rsidRDefault="009C37B3" w:rsidP="009C37B3">
      <w:pPr>
        <w:spacing w:line="360" w:lineRule="auto"/>
        <w:jc w:val="both"/>
        <w:rPr>
          <w:rFonts w:ascii="Arial" w:hAnsi="Arial" w:cs="Arial"/>
        </w:rPr>
      </w:pPr>
    </w:p>
    <w:p w14:paraId="5B5E79F3" w14:textId="3D7A9AE7" w:rsidR="009C37B3" w:rsidRDefault="009C37B3" w:rsidP="009C37B3">
      <w:pPr>
        <w:spacing w:line="360" w:lineRule="auto"/>
        <w:jc w:val="both"/>
        <w:rPr>
          <w:rFonts w:ascii="Arial" w:hAnsi="Arial" w:cs="Arial"/>
        </w:rPr>
      </w:pPr>
    </w:p>
    <w:p w14:paraId="52794375" w14:textId="67AA7D5C" w:rsidR="009C37B3" w:rsidRDefault="00FD723E" w:rsidP="009C37B3">
      <w:pPr>
        <w:spacing w:line="360" w:lineRule="auto"/>
        <w:jc w:val="both"/>
        <w:rPr>
          <w:sz w:val="20"/>
          <w:szCs w:val="20"/>
        </w:rPr>
      </w:pPr>
      <w:r w:rsidRPr="00FD723E">
        <w:rPr>
          <w:sz w:val="20"/>
          <w:szCs w:val="20"/>
        </w:rPr>
        <w:lastRenderedPageBreak/>
        <w:t>Con la finalidad de coadyuvar en el saneamiento de las Pensiones Civiles del Estado de Tlaxcala, el Ejecutivo del Estado ha otorgado del ejercicio 2017 a la fecha aportaciones extraordinarias a Pensiones Civiles del Estado por un importe de 418.8 MDP al cierre del mes de septiembre de 2024</w:t>
      </w:r>
      <w:r w:rsidR="009C37B3">
        <w:rPr>
          <w:sz w:val="20"/>
          <w:szCs w:val="20"/>
        </w:rPr>
        <w:t>.</w:t>
      </w:r>
    </w:p>
    <w:p w14:paraId="12981EC5" w14:textId="77777777" w:rsidR="00FD723E" w:rsidRDefault="00FD723E" w:rsidP="009C37B3">
      <w:pPr>
        <w:spacing w:line="360" w:lineRule="auto"/>
        <w:jc w:val="both"/>
        <w:rPr>
          <w:sz w:val="20"/>
          <w:szCs w:val="20"/>
        </w:rPr>
      </w:pPr>
    </w:p>
    <w:tbl>
      <w:tblPr>
        <w:tblW w:w="4130" w:type="dxa"/>
        <w:jc w:val="center"/>
        <w:tblCellMar>
          <w:left w:w="70" w:type="dxa"/>
          <w:right w:w="70" w:type="dxa"/>
        </w:tblCellMar>
        <w:tblLook w:val="04A0" w:firstRow="1" w:lastRow="0" w:firstColumn="1" w:lastColumn="0" w:noHBand="0" w:noVBand="1"/>
      </w:tblPr>
      <w:tblGrid>
        <w:gridCol w:w="2100"/>
        <w:gridCol w:w="2030"/>
      </w:tblGrid>
      <w:tr w:rsidR="005B6086" w14:paraId="48F0F5DA" w14:textId="77777777" w:rsidTr="00FD723E">
        <w:trPr>
          <w:trHeight w:val="585"/>
          <w:jc w:val="center"/>
        </w:trPr>
        <w:tc>
          <w:tcPr>
            <w:tcW w:w="210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730A743C" w14:textId="77777777" w:rsidR="005B6086" w:rsidRDefault="005B6086">
            <w:pPr>
              <w:jc w:val="center"/>
              <w:rPr>
                <w:b/>
                <w:bCs/>
                <w:color w:val="000000"/>
                <w:sz w:val="20"/>
                <w:szCs w:val="20"/>
                <w:lang w:val="es-MX" w:eastAsia="es-MX"/>
              </w:rPr>
            </w:pPr>
            <w:r>
              <w:rPr>
                <w:b/>
                <w:bCs/>
                <w:color w:val="000000"/>
                <w:sz w:val="20"/>
                <w:szCs w:val="20"/>
              </w:rPr>
              <w:t>AÑO</w:t>
            </w:r>
          </w:p>
        </w:tc>
        <w:tc>
          <w:tcPr>
            <w:tcW w:w="2030" w:type="dxa"/>
            <w:tcBorders>
              <w:top w:val="single" w:sz="8" w:space="0" w:color="auto"/>
              <w:left w:val="nil"/>
              <w:bottom w:val="nil"/>
              <w:right w:val="single" w:sz="8" w:space="0" w:color="auto"/>
            </w:tcBorders>
            <w:shd w:val="clear" w:color="000000" w:fill="BFBFBF"/>
            <w:vAlign w:val="center"/>
            <w:hideMark/>
          </w:tcPr>
          <w:p w14:paraId="731A09A5" w14:textId="77777777" w:rsidR="005B6086" w:rsidRDefault="005B6086">
            <w:pPr>
              <w:jc w:val="center"/>
              <w:rPr>
                <w:b/>
                <w:bCs/>
                <w:color w:val="000000"/>
                <w:sz w:val="20"/>
                <w:szCs w:val="20"/>
              </w:rPr>
            </w:pPr>
            <w:r>
              <w:rPr>
                <w:b/>
                <w:bCs/>
                <w:color w:val="000000"/>
                <w:sz w:val="20"/>
                <w:szCs w:val="20"/>
              </w:rPr>
              <w:t>APOYO ESTATAL EXTRAORDINARIO</w:t>
            </w:r>
          </w:p>
        </w:tc>
      </w:tr>
      <w:tr w:rsidR="005B6086" w14:paraId="6705B012" w14:textId="77777777" w:rsidTr="00FD723E">
        <w:trPr>
          <w:trHeight w:val="315"/>
          <w:jc w:val="center"/>
        </w:trPr>
        <w:tc>
          <w:tcPr>
            <w:tcW w:w="2100" w:type="dxa"/>
            <w:vMerge/>
            <w:tcBorders>
              <w:top w:val="single" w:sz="8" w:space="0" w:color="auto"/>
              <w:left w:val="single" w:sz="8" w:space="0" w:color="auto"/>
              <w:bottom w:val="single" w:sz="8" w:space="0" w:color="000000"/>
              <w:right w:val="single" w:sz="8" w:space="0" w:color="auto"/>
            </w:tcBorders>
            <w:vAlign w:val="center"/>
            <w:hideMark/>
          </w:tcPr>
          <w:p w14:paraId="5F149039" w14:textId="77777777" w:rsidR="005B6086" w:rsidRDefault="005B6086">
            <w:pPr>
              <w:rPr>
                <w:b/>
                <w:bCs/>
                <w:color w:val="000000"/>
                <w:sz w:val="20"/>
                <w:szCs w:val="20"/>
              </w:rPr>
            </w:pPr>
          </w:p>
        </w:tc>
        <w:tc>
          <w:tcPr>
            <w:tcW w:w="2030" w:type="dxa"/>
            <w:tcBorders>
              <w:top w:val="nil"/>
              <w:left w:val="nil"/>
              <w:bottom w:val="single" w:sz="8" w:space="0" w:color="auto"/>
              <w:right w:val="single" w:sz="8" w:space="0" w:color="auto"/>
            </w:tcBorders>
            <w:shd w:val="clear" w:color="000000" w:fill="BFBFBF"/>
            <w:vAlign w:val="center"/>
            <w:hideMark/>
          </w:tcPr>
          <w:p w14:paraId="32EDC75B" w14:textId="77777777" w:rsidR="005B6086" w:rsidRDefault="005B6086">
            <w:pPr>
              <w:jc w:val="center"/>
              <w:rPr>
                <w:b/>
                <w:bCs/>
                <w:color w:val="000000"/>
                <w:sz w:val="20"/>
                <w:szCs w:val="20"/>
              </w:rPr>
            </w:pPr>
            <w:r>
              <w:rPr>
                <w:b/>
                <w:bCs/>
                <w:color w:val="000000"/>
                <w:sz w:val="20"/>
                <w:szCs w:val="20"/>
              </w:rPr>
              <w:t>(MDP)</w:t>
            </w:r>
          </w:p>
        </w:tc>
      </w:tr>
      <w:tr w:rsidR="00FD723E" w14:paraId="4F3C329D" w14:textId="77777777" w:rsidTr="00FD723E">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60407D5A" w14:textId="3477C7DA" w:rsidR="00FD723E" w:rsidRDefault="00FD723E" w:rsidP="00FD723E">
            <w:pPr>
              <w:rPr>
                <w:b/>
                <w:bCs/>
                <w:color w:val="000000"/>
                <w:sz w:val="20"/>
                <w:szCs w:val="20"/>
              </w:rPr>
            </w:pPr>
            <w:r w:rsidRPr="00422B39">
              <w:rPr>
                <w:b/>
                <w:bCs/>
                <w:color w:val="000000"/>
                <w:sz w:val="22"/>
                <w:szCs w:val="22"/>
                <w:lang w:eastAsia="es-MX"/>
              </w:rPr>
              <w:t>Ejercicio 2017</w:t>
            </w:r>
          </w:p>
        </w:tc>
        <w:tc>
          <w:tcPr>
            <w:tcW w:w="2030" w:type="dxa"/>
            <w:tcBorders>
              <w:top w:val="nil"/>
              <w:left w:val="nil"/>
              <w:bottom w:val="single" w:sz="8" w:space="0" w:color="auto"/>
              <w:right w:val="single" w:sz="8" w:space="0" w:color="auto"/>
            </w:tcBorders>
            <w:shd w:val="clear" w:color="auto" w:fill="auto"/>
            <w:noWrap/>
            <w:vAlign w:val="center"/>
            <w:hideMark/>
          </w:tcPr>
          <w:p w14:paraId="2515C53B" w14:textId="72660727" w:rsidR="00FD723E" w:rsidRDefault="00FD723E" w:rsidP="00FD723E">
            <w:pPr>
              <w:jc w:val="right"/>
              <w:rPr>
                <w:color w:val="000000"/>
                <w:sz w:val="20"/>
                <w:szCs w:val="20"/>
              </w:rPr>
            </w:pPr>
            <w:r w:rsidRPr="00422B39">
              <w:rPr>
                <w:bCs/>
                <w:color w:val="000000"/>
                <w:sz w:val="22"/>
                <w:szCs w:val="22"/>
                <w:lang w:eastAsia="es-MX"/>
              </w:rPr>
              <w:t>26.6</w:t>
            </w:r>
          </w:p>
        </w:tc>
      </w:tr>
      <w:tr w:rsidR="00FD723E" w14:paraId="2C85BC97" w14:textId="77777777" w:rsidTr="00FD723E">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536E8421" w14:textId="54C1C126" w:rsidR="00FD723E" w:rsidRDefault="00FD723E" w:rsidP="00FD723E">
            <w:pPr>
              <w:rPr>
                <w:b/>
                <w:bCs/>
                <w:color w:val="000000"/>
                <w:sz w:val="20"/>
                <w:szCs w:val="20"/>
              </w:rPr>
            </w:pPr>
            <w:r w:rsidRPr="00422B39">
              <w:rPr>
                <w:b/>
                <w:bCs/>
                <w:color w:val="000000"/>
                <w:sz w:val="22"/>
                <w:szCs w:val="22"/>
                <w:lang w:eastAsia="es-MX"/>
              </w:rPr>
              <w:t>Ejercicio 2018</w:t>
            </w:r>
          </w:p>
        </w:tc>
        <w:tc>
          <w:tcPr>
            <w:tcW w:w="2030" w:type="dxa"/>
            <w:tcBorders>
              <w:top w:val="nil"/>
              <w:left w:val="nil"/>
              <w:bottom w:val="single" w:sz="8" w:space="0" w:color="auto"/>
              <w:right w:val="single" w:sz="8" w:space="0" w:color="auto"/>
            </w:tcBorders>
            <w:shd w:val="clear" w:color="auto" w:fill="auto"/>
            <w:noWrap/>
            <w:vAlign w:val="center"/>
            <w:hideMark/>
          </w:tcPr>
          <w:p w14:paraId="51CFD0AF" w14:textId="1BD3FF0E" w:rsidR="00FD723E" w:rsidRDefault="00FD723E" w:rsidP="00FD723E">
            <w:pPr>
              <w:jc w:val="right"/>
              <w:rPr>
                <w:color w:val="000000"/>
                <w:sz w:val="20"/>
                <w:szCs w:val="20"/>
              </w:rPr>
            </w:pPr>
            <w:r w:rsidRPr="00422B39">
              <w:rPr>
                <w:bCs/>
                <w:color w:val="000000"/>
                <w:sz w:val="22"/>
                <w:szCs w:val="22"/>
                <w:lang w:eastAsia="es-MX"/>
              </w:rPr>
              <w:t>31.0</w:t>
            </w:r>
          </w:p>
        </w:tc>
      </w:tr>
      <w:tr w:rsidR="00FD723E" w14:paraId="18FB80CD" w14:textId="77777777" w:rsidTr="00FD723E">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21A0BFBA" w14:textId="48FC09C9" w:rsidR="00FD723E" w:rsidRDefault="00FD723E" w:rsidP="00FD723E">
            <w:pPr>
              <w:rPr>
                <w:b/>
                <w:bCs/>
                <w:color w:val="000000"/>
                <w:sz w:val="20"/>
                <w:szCs w:val="20"/>
              </w:rPr>
            </w:pPr>
            <w:r w:rsidRPr="00422B39">
              <w:rPr>
                <w:b/>
                <w:bCs/>
                <w:color w:val="000000"/>
                <w:sz w:val="22"/>
                <w:szCs w:val="22"/>
                <w:lang w:eastAsia="es-MX"/>
              </w:rPr>
              <w:t>Ejercicio 2019</w:t>
            </w:r>
          </w:p>
        </w:tc>
        <w:tc>
          <w:tcPr>
            <w:tcW w:w="2030" w:type="dxa"/>
            <w:tcBorders>
              <w:top w:val="nil"/>
              <w:left w:val="nil"/>
              <w:bottom w:val="single" w:sz="8" w:space="0" w:color="auto"/>
              <w:right w:val="single" w:sz="8" w:space="0" w:color="auto"/>
            </w:tcBorders>
            <w:shd w:val="clear" w:color="auto" w:fill="auto"/>
            <w:noWrap/>
            <w:vAlign w:val="center"/>
            <w:hideMark/>
          </w:tcPr>
          <w:p w14:paraId="2EE8185D" w14:textId="3F94D814" w:rsidR="00FD723E" w:rsidRDefault="00FD723E" w:rsidP="00FD723E">
            <w:pPr>
              <w:jc w:val="right"/>
              <w:rPr>
                <w:color w:val="000000"/>
                <w:sz w:val="20"/>
                <w:szCs w:val="20"/>
              </w:rPr>
            </w:pPr>
            <w:r w:rsidRPr="00422B39">
              <w:rPr>
                <w:bCs/>
                <w:color w:val="000000"/>
                <w:sz w:val="22"/>
                <w:szCs w:val="22"/>
                <w:lang w:eastAsia="es-MX"/>
              </w:rPr>
              <w:t>55.0</w:t>
            </w:r>
          </w:p>
        </w:tc>
      </w:tr>
      <w:tr w:rsidR="00FD723E" w14:paraId="02F45180" w14:textId="77777777" w:rsidTr="00FD723E">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03890A39" w14:textId="711F3E3B" w:rsidR="00FD723E" w:rsidRDefault="00FD723E" w:rsidP="00FD723E">
            <w:pPr>
              <w:rPr>
                <w:b/>
                <w:bCs/>
                <w:color w:val="000000"/>
                <w:sz w:val="20"/>
                <w:szCs w:val="20"/>
              </w:rPr>
            </w:pPr>
            <w:r w:rsidRPr="00422B39">
              <w:rPr>
                <w:b/>
                <w:bCs/>
                <w:color w:val="000000"/>
                <w:sz w:val="22"/>
                <w:szCs w:val="22"/>
                <w:lang w:eastAsia="es-MX"/>
              </w:rPr>
              <w:t>Ejercicio 2020</w:t>
            </w:r>
          </w:p>
        </w:tc>
        <w:tc>
          <w:tcPr>
            <w:tcW w:w="2030" w:type="dxa"/>
            <w:tcBorders>
              <w:top w:val="nil"/>
              <w:left w:val="nil"/>
              <w:bottom w:val="single" w:sz="8" w:space="0" w:color="auto"/>
              <w:right w:val="single" w:sz="8" w:space="0" w:color="auto"/>
            </w:tcBorders>
            <w:shd w:val="clear" w:color="auto" w:fill="auto"/>
            <w:noWrap/>
            <w:vAlign w:val="center"/>
            <w:hideMark/>
          </w:tcPr>
          <w:p w14:paraId="3B59E6B4" w14:textId="42BA1AD5" w:rsidR="00FD723E" w:rsidRDefault="00FD723E" w:rsidP="00FD723E">
            <w:pPr>
              <w:jc w:val="right"/>
              <w:rPr>
                <w:color w:val="000000"/>
                <w:sz w:val="20"/>
                <w:szCs w:val="20"/>
              </w:rPr>
            </w:pPr>
            <w:r w:rsidRPr="00422B39">
              <w:rPr>
                <w:bCs/>
                <w:color w:val="000000"/>
                <w:sz w:val="22"/>
                <w:szCs w:val="22"/>
                <w:lang w:eastAsia="es-MX"/>
              </w:rPr>
              <w:t>80.5</w:t>
            </w:r>
          </w:p>
        </w:tc>
      </w:tr>
      <w:tr w:rsidR="00FD723E" w14:paraId="03F0862E" w14:textId="77777777" w:rsidTr="00FD723E">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71E74143" w14:textId="52521EB9" w:rsidR="00FD723E" w:rsidRDefault="00FD723E" w:rsidP="00FD723E">
            <w:pPr>
              <w:rPr>
                <w:b/>
                <w:bCs/>
                <w:color w:val="000000"/>
                <w:sz w:val="20"/>
                <w:szCs w:val="20"/>
              </w:rPr>
            </w:pPr>
            <w:r w:rsidRPr="00422B39">
              <w:rPr>
                <w:b/>
                <w:bCs/>
                <w:color w:val="000000"/>
                <w:sz w:val="22"/>
                <w:szCs w:val="22"/>
                <w:lang w:eastAsia="es-MX"/>
              </w:rPr>
              <w:t>Ejercicio 2021</w:t>
            </w:r>
          </w:p>
        </w:tc>
        <w:tc>
          <w:tcPr>
            <w:tcW w:w="2030" w:type="dxa"/>
            <w:tcBorders>
              <w:top w:val="nil"/>
              <w:left w:val="nil"/>
              <w:bottom w:val="single" w:sz="8" w:space="0" w:color="auto"/>
              <w:right w:val="single" w:sz="8" w:space="0" w:color="auto"/>
            </w:tcBorders>
            <w:shd w:val="clear" w:color="auto" w:fill="auto"/>
            <w:noWrap/>
            <w:vAlign w:val="center"/>
            <w:hideMark/>
          </w:tcPr>
          <w:p w14:paraId="4FBF9629" w14:textId="4ED8D1A9" w:rsidR="00FD723E" w:rsidRDefault="00FD723E" w:rsidP="00FD723E">
            <w:pPr>
              <w:jc w:val="right"/>
              <w:rPr>
                <w:color w:val="000000"/>
                <w:sz w:val="20"/>
                <w:szCs w:val="20"/>
              </w:rPr>
            </w:pPr>
            <w:r w:rsidRPr="00422B39">
              <w:rPr>
                <w:bCs/>
                <w:color w:val="000000"/>
                <w:sz w:val="22"/>
                <w:szCs w:val="22"/>
                <w:lang w:eastAsia="es-MX"/>
              </w:rPr>
              <w:t>49.6</w:t>
            </w:r>
          </w:p>
        </w:tc>
      </w:tr>
      <w:tr w:rsidR="00FD723E" w14:paraId="09D604D3" w14:textId="77777777" w:rsidTr="00FD723E">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3D5839AD" w14:textId="23ADADFD" w:rsidR="00FD723E" w:rsidRDefault="00FD723E" w:rsidP="00FD723E">
            <w:pPr>
              <w:rPr>
                <w:b/>
                <w:bCs/>
                <w:color w:val="000000"/>
                <w:sz w:val="20"/>
                <w:szCs w:val="20"/>
              </w:rPr>
            </w:pPr>
            <w:r w:rsidRPr="00422B39">
              <w:rPr>
                <w:b/>
                <w:bCs/>
                <w:color w:val="000000"/>
                <w:sz w:val="22"/>
                <w:szCs w:val="22"/>
                <w:lang w:eastAsia="es-MX"/>
              </w:rPr>
              <w:t>Ejercicio 2022</w:t>
            </w:r>
          </w:p>
        </w:tc>
        <w:tc>
          <w:tcPr>
            <w:tcW w:w="2030" w:type="dxa"/>
            <w:tcBorders>
              <w:top w:val="nil"/>
              <w:left w:val="nil"/>
              <w:bottom w:val="single" w:sz="8" w:space="0" w:color="auto"/>
              <w:right w:val="single" w:sz="8" w:space="0" w:color="auto"/>
            </w:tcBorders>
            <w:shd w:val="clear" w:color="auto" w:fill="auto"/>
            <w:noWrap/>
            <w:vAlign w:val="center"/>
            <w:hideMark/>
          </w:tcPr>
          <w:p w14:paraId="7CA966B4" w14:textId="0F335E8E" w:rsidR="00FD723E" w:rsidRDefault="00FD723E" w:rsidP="00FD723E">
            <w:pPr>
              <w:jc w:val="right"/>
              <w:rPr>
                <w:color w:val="000000"/>
                <w:sz w:val="20"/>
                <w:szCs w:val="20"/>
              </w:rPr>
            </w:pPr>
            <w:r w:rsidRPr="00422B39">
              <w:rPr>
                <w:color w:val="000000"/>
                <w:sz w:val="22"/>
                <w:szCs w:val="22"/>
                <w:lang w:eastAsia="es-MX"/>
              </w:rPr>
              <w:t>77.6</w:t>
            </w:r>
          </w:p>
        </w:tc>
      </w:tr>
      <w:tr w:rsidR="00FD723E" w14:paraId="02175E00" w14:textId="77777777" w:rsidTr="00FD723E">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7283C8D3" w14:textId="537A30BE" w:rsidR="00FD723E" w:rsidRDefault="00FD723E" w:rsidP="00FD723E">
            <w:pPr>
              <w:rPr>
                <w:b/>
                <w:bCs/>
                <w:color w:val="000000"/>
                <w:sz w:val="20"/>
                <w:szCs w:val="20"/>
              </w:rPr>
            </w:pPr>
            <w:r w:rsidRPr="00422B39">
              <w:rPr>
                <w:b/>
                <w:bCs/>
                <w:color w:val="000000"/>
                <w:sz w:val="22"/>
                <w:szCs w:val="22"/>
                <w:lang w:eastAsia="es-MX"/>
              </w:rPr>
              <w:t>Ejercicio 2023</w:t>
            </w:r>
          </w:p>
        </w:tc>
        <w:tc>
          <w:tcPr>
            <w:tcW w:w="2030" w:type="dxa"/>
            <w:tcBorders>
              <w:top w:val="nil"/>
              <w:left w:val="nil"/>
              <w:bottom w:val="single" w:sz="8" w:space="0" w:color="auto"/>
              <w:right w:val="single" w:sz="8" w:space="0" w:color="auto"/>
            </w:tcBorders>
            <w:shd w:val="clear" w:color="auto" w:fill="auto"/>
            <w:noWrap/>
            <w:vAlign w:val="center"/>
            <w:hideMark/>
          </w:tcPr>
          <w:p w14:paraId="44BC2D01" w14:textId="7F4D3584" w:rsidR="00FD723E" w:rsidRDefault="00FD723E" w:rsidP="00FD723E">
            <w:pPr>
              <w:jc w:val="right"/>
              <w:rPr>
                <w:b/>
                <w:bCs/>
                <w:color w:val="000000"/>
                <w:sz w:val="20"/>
                <w:szCs w:val="20"/>
              </w:rPr>
            </w:pPr>
            <w:r w:rsidRPr="00422B39">
              <w:rPr>
                <w:color w:val="000000"/>
                <w:sz w:val="22"/>
                <w:szCs w:val="22"/>
                <w:lang w:eastAsia="es-MX"/>
              </w:rPr>
              <w:t>60.0</w:t>
            </w:r>
          </w:p>
        </w:tc>
      </w:tr>
      <w:tr w:rsidR="00FD723E" w14:paraId="705510EC" w14:textId="77777777" w:rsidTr="00FD723E">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tcPr>
          <w:p w14:paraId="6A9432FD" w14:textId="11ACC4E4" w:rsidR="00FD723E" w:rsidRDefault="00FD723E" w:rsidP="00FD723E">
            <w:pPr>
              <w:rPr>
                <w:b/>
                <w:bCs/>
                <w:color w:val="000000"/>
                <w:sz w:val="20"/>
                <w:szCs w:val="20"/>
              </w:rPr>
            </w:pPr>
            <w:r w:rsidRPr="00422B39">
              <w:rPr>
                <w:b/>
                <w:bCs/>
                <w:color w:val="000000"/>
                <w:sz w:val="22"/>
                <w:szCs w:val="22"/>
                <w:lang w:eastAsia="es-MX"/>
              </w:rPr>
              <w:t>*Ejercicio 2024</w:t>
            </w:r>
          </w:p>
        </w:tc>
        <w:tc>
          <w:tcPr>
            <w:tcW w:w="2030" w:type="dxa"/>
            <w:tcBorders>
              <w:top w:val="nil"/>
              <w:left w:val="nil"/>
              <w:bottom w:val="single" w:sz="8" w:space="0" w:color="auto"/>
              <w:right w:val="single" w:sz="8" w:space="0" w:color="auto"/>
            </w:tcBorders>
            <w:shd w:val="clear" w:color="auto" w:fill="auto"/>
            <w:noWrap/>
            <w:vAlign w:val="center"/>
          </w:tcPr>
          <w:p w14:paraId="5275128A" w14:textId="500B034F" w:rsidR="00FD723E" w:rsidRDefault="00FD723E" w:rsidP="00FD723E">
            <w:pPr>
              <w:jc w:val="right"/>
              <w:rPr>
                <w:b/>
                <w:bCs/>
                <w:color w:val="000000"/>
                <w:sz w:val="20"/>
                <w:szCs w:val="20"/>
              </w:rPr>
            </w:pPr>
            <w:r w:rsidRPr="00422B39">
              <w:rPr>
                <w:b/>
                <w:bCs/>
                <w:color w:val="000000"/>
                <w:sz w:val="22"/>
                <w:szCs w:val="22"/>
                <w:lang w:eastAsia="es-MX"/>
              </w:rPr>
              <w:t>38.5</w:t>
            </w:r>
          </w:p>
        </w:tc>
      </w:tr>
      <w:tr w:rsidR="00FD723E" w14:paraId="6742BD98" w14:textId="77777777" w:rsidTr="00FD723E">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557DE949" w14:textId="77777777" w:rsidR="00FD723E" w:rsidRDefault="00FD723E" w:rsidP="00FD723E">
            <w:pPr>
              <w:jc w:val="center"/>
              <w:rPr>
                <w:b/>
                <w:bCs/>
                <w:color w:val="000000"/>
                <w:sz w:val="20"/>
                <w:szCs w:val="20"/>
              </w:rPr>
            </w:pPr>
            <w:r>
              <w:rPr>
                <w:b/>
                <w:bCs/>
                <w:color w:val="000000"/>
                <w:sz w:val="20"/>
                <w:szCs w:val="20"/>
              </w:rPr>
              <w:t>SUMA</w:t>
            </w:r>
          </w:p>
        </w:tc>
        <w:tc>
          <w:tcPr>
            <w:tcW w:w="2030" w:type="dxa"/>
            <w:tcBorders>
              <w:top w:val="nil"/>
              <w:left w:val="nil"/>
              <w:bottom w:val="single" w:sz="8" w:space="0" w:color="auto"/>
              <w:right w:val="single" w:sz="8" w:space="0" w:color="auto"/>
            </w:tcBorders>
            <w:shd w:val="clear" w:color="auto" w:fill="auto"/>
            <w:noWrap/>
            <w:vAlign w:val="center"/>
            <w:hideMark/>
          </w:tcPr>
          <w:p w14:paraId="5A6B73B5" w14:textId="57A7E1AE" w:rsidR="00FD723E" w:rsidRDefault="00FD723E" w:rsidP="00FD723E">
            <w:pPr>
              <w:jc w:val="right"/>
              <w:rPr>
                <w:b/>
                <w:bCs/>
                <w:color w:val="000000"/>
                <w:sz w:val="20"/>
                <w:szCs w:val="20"/>
              </w:rPr>
            </w:pPr>
            <w:r w:rsidRPr="00422B39">
              <w:rPr>
                <w:b/>
                <w:bCs/>
                <w:color w:val="000000"/>
                <w:sz w:val="22"/>
                <w:szCs w:val="22"/>
                <w:lang w:eastAsia="es-MX"/>
              </w:rPr>
              <w:t>418.8</w:t>
            </w:r>
          </w:p>
        </w:tc>
      </w:tr>
    </w:tbl>
    <w:p w14:paraId="220328FE" w14:textId="615091C6" w:rsidR="009C37B3" w:rsidRDefault="00FD723E" w:rsidP="009C37B3">
      <w:pPr>
        <w:spacing w:line="360" w:lineRule="auto"/>
        <w:ind w:left="2268"/>
        <w:rPr>
          <w:b/>
          <w:sz w:val="20"/>
          <w:szCs w:val="20"/>
        </w:rPr>
      </w:pPr>
      <w:r>
        <w:rPr>
          <w:b/>
          <w:sz w:val="20"/>
          <w:szCs w:val="20"/>
        </w:rPr>
        <w:t>* Cifra estimada al cierre 2024</w:t>
      </w:r>
    </w:p>
    <w:p w14:paraId="6E486213" w14:textId="77777777" w:rsidR="009C37B3" w:rsidRDefault="009C37B3" w:rsidP="009C37B3">
      <w:pPr>
        <w:spacing w:line="360" w:lineRule="auto"/>
        <w:jc w:val="both"/>
        <w:rPr>
          <w:sz w:val="20"/>
          <w:szCs w:val="20"/>
        </w:rPr>
      </w:pPr>
    </w:p>
    <w:p w14:paraId="69E76FE1" w14:textId="4C42733E" w:rsidR="009C37B3" w:rsidRDefault="00FD723E" w:rsidP="009C37B3">
      <w:pPr>
        <w:spacing w:line="360" w:lineRule="auto"/>
        <w:jc w:val="both"/>
        <w:rPr>
          <w:sz w:val="20"/>
          <w:szCs w:val="20"/>
        </w:rPr>
      </w:pPr>
      <w:r w:rsidRPr="00FD723E">
        <w:rPr>
          <w:sz w:val="20"/>
          <w:szCs w:val="20"/>
        </w:rPr>
        <w:t>Los ingresos propios de Pensiones Civiles del Estado de Tlaxcala, se han visto incrementados, a partir, de la reforma, como a continuación se observa:</w:t>
      </w:r>
    </w:p>
    <w:p w14:paraId="6EBC0A0A" w14:textId="77777777" w:rsidR="009C37B3" w:rsidRDefault="009C37B3" w:rsidP="009C37B3">
      <w:pPr>
        <w:spacing w:line="360" w:lineRule="auto"/>
        <w:jc w:val="both"/>
        <w:rPr>
          <w:sz w:val="20"/>
          <w:szCs w:val="20"/>
        </w:rPr>
      </w:pPr>
    </w:p>
    <w:tbl>
      <w:tblPr>
        <w:tblW w:w="4000" w:type="dxa"/>
        <w:jc w:val="center"/>
        <w:tblCellMar>
          <w:left w:w="70" w:type="dxa"/>
          <w:right w:w="70" w:type="dxa"/>
        </w:tblCellMar>
        <w:tblLook w:val="04A0" w:firstRow="1" w:lastRow="0" w:firstColumn="1" w:lastColumn="0" w:noHBand="0" w:noVBand="1"/>
      </w:tblPr>
      <w:tblGrid>
        <w:gridCol w:w="2100"/>
        <w:gridCol w:w="1900"/>
      </w:tblGrid>
      <w:tr w:rsidR="005B6086" w14:paraId="0D208965" w14:textId="77777777" w:rsidTr="005B6086">
        <w:trPr>
          <w:trHeight w:val="510"/>
          <w:jc w:val="center"/>
        </w:trPr>
        <w:tc>
          <w:tcPr>
            <w:tcW w:w="210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15F146A2" w14:textId="77777777" w:rsidR="005B6086" w:rsidRDefault="005B6086">
            <w:pPr>
              <w:jc w:val="center"/>
              <w:rPr>
                <w:b/>
                <w:bCs/>
                <w:color w:val="000000"/>
                <w:sz w:val="20"/>
                <w:szCs w:val="20"/>
                <w:lang w:val="es-MX" w:eastAsia="es-MX"/>
              </w:rPr>
            </w:pPr>
            <w:r>
              <w:rPr>
                <w:b/>
                <w:bCs/>
                <w:color w:val="000000"/>
                <w:sz w:val="20"/>
                <w:szCs w:val="20"/>
              </w:rPr>
              <w:t>AÑO</w:t>
            </w:r>
          </w:p>
        </w:tc>
        <w:tc>
          <w:tcPr>
            <w:tcW w:w="1900" w:type="dxa"/>
            <w:tcBorders>
              <w:top w:val="single" w:sz="8" w:space="0" w:color="auto"/>
              <w:left w:val="nil"/>
              <w:bottom w:val="nil"/>
              <w:right w:val="single" w:sz="8" w:space="0" w:color="auto"/>
            </w:tcBorders>
            <w:shd w:val="clear" w:color="000000" w:fill="BFBFBF"/>
            <w:vAlign w:val="center"/>
            <w:hideMark/>
          </w:tcPr>
          <w:p w14:paraId="642F7ECE" w14:textId="77777777" w:rsidR="005B6086" w:rsidRDefault="005B6086">
            <w:pPr>
              <w:jc w:val="center"/>
              <w:rPr>
                <w:b/>
                <w:bCs/>
                <w:color w:val="000000"/>
                <w:sz w:val="20"/>
                <w:szCs w:val="20"/>
              </w:rPr>
            </w:pPr>
            <w:r>
              <w:rPr>
                <w:b/>
                <w:bCs/>
                <w:color w:val="000000"/>
                <w:sz w:val="20"/>
                <w:szCs w:val="20"/>
              </w:rPr>
              <w:t>APORTACIONES Y RETENCIONES</w:t>
            </w:r>
          </w:p>
        </w:tc>
      </w:tr>
      <w:tr w:rsidR="005B6086" w14:paraId="56FEA9F9" w14:textId="77777777" w:rsidTr="005B6086">
        <w:trPr>
          <w:trHeight w:val="315"/>
          <w:jc w:val="center"/>
        </w:trPr>
        <w:tc>
          <w:tcPr>
            <w:tcW w:w="2100" w:type="dxa"/>
            <w:vMerge/>
            <w:tcBorders>
              <w:top w:val="single" w:sz="8" w:space="0" w:color="auto"/>
              <w:left w:val="single" w:sz="8" w:space="0" w:color="auto"/>
              <w:bottom w:val="single" w:sz="8" w:space="0" w:color="000000"/>
              <w:right w:val="single" w:sz="8" w:space="0" w:color="auto"/>
            </w:tcBorders>
            <w:vAlign w:val="center"/>
            <w:hideMark/>
          </w:tcPr>
          <w:p w14:paraId="34439207" w14:textId="77777777" w:rsidR="005B6086" w:rsidRDefault="005B6086">
            <w:pPr>
              <w:rPr>
                <w:b/>
                <w:bCs/>
                <w:color w:val="000000"/>
                <w:sz w:val="20"/>
                <w:szCs w:val="20"/>
              </w:rPr>
            </w:pPr>
          </w:p>
        </w:tc>
        <w:tc>
          <w:tcPr>
            <w:tcW w:w="1900" w:type="dxa"/>
            <w:tcBorders>
              <w:top w:val="nil"/>
              <w:left w:val="nil"/>
              <w:bottom w:val="single" w:sz="8" w:space="0" w:color="auto"/>
              <w:right w:val="single" w:sz="8" w:space="0" w:color="auto"/>
            </w:tcBorders>
            <w:shd w:val="clear" w:color="000000" w:fill="BFBFBF"/>
            <w:vAlign w:val="center"/>
            <w:hideMark/>
          </w:tcPr>
          <w:p w14:paraId="1F45E213" w14:textId="77777777" w:rsidR="005B6086" w:rsidRDefault="005B6086">
            <w:pPr>
              <w:jc w:val="center"/>
              <w:rPr>
                <w:b/>
                <w:bCs/>
                <w:color w:val="000000"/>
                <w:sz w:val="20"/>
                <w:szCs w:val="20"/>
              </w:rPr>
            </w:pPr>
            <w:r>
              <w:rPr>
                <w:b/>
                <w:bCs/>
                <w:color w:val="000000"/>
                <w:sz w:val="20"/>
                <w:szCs w:val="20"/>
              </w:rPr>
              <w:t>(MDP)</w:t>
            </w:r>
          </w:p>
        </w:tc>
      </w:tr>
      <w:tr w:rsidR="00FD723E" w14:paraId="47644D3B" w14:textId="77777777" w:rsidTr="00201309">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02CBA2B5" w14:textId="55A40EE0" w:rsidR="00FD723E" w:rsidRDefault="00FD723E" w:rsidP="00FD723E">
            <w:pPr>
              <w:rPr>
                <w:b/>
                <w:bCs/>
                <w:color w:val="000000"/>
                <w:sz w:val="20"/>
                <w:szCs w:val="20"/>
              </w:rPr>
            </w:pPr>
            <w:r w:rsidRPr="00422B39">
              <w:rPr>
                <w:b/>
                <w:bCs/>
                <w:color w:val="000000"/>
                <w:sz w:val="22"/>
                <w:szCs w:val="22"/>
                <w:lang w:eastAsia="es-MX"/>
              </w:rPr>
              <w:t>Ejercicio 2017</w:t>
            </w:r>
          </w:p>
        </w:tc>
        <w:tc>
          <w:tcPr>
            <w:tcW w:w="1900" w:type="dxa"/>
            <w:tcBorders>
              <w:top w:val="nil"/>
              <w:left w:val="nil"/>
              <w:bottom w:val="single" w:sz="8" w:space="0" w:color="auto"/>
              <w:right w:val="single" w:sz="8" w:space="0" w:color="auto"/>
            </w:tcBorders>
            <w:shd w:val="clear" w:color="auto" w:fill="auto"/>
            <w:noWrap/>
            <w:vAlign w:val="bottom"/>
            <w:hideMark/>
          </w:tcPr>
          <w:p w14:paraId="592DA6C9" w14:textId="2F127478" w:rsidR="00FD723E" w:rsidRDefault="00FD723E" w:rsidP="00FD723E">
            <w:pPr>
              <w:jc w:val="right"/>
              <w:rPr>
                <w:color w:val="000000"/>
                <w:sz w:val="20"/>
                <w:szCs w:val="20"/>
              </w:rPr>
            </w:pPr>
            <w:r w:rsidRPr="00422B39">
              <w:rPr>
                <w:bCs/>
                <w:color w:val="000000"/>
                <w:sz w:val="22"/>
                <w:szCs w:val="22"/>
                <w:lang w:eastAsia="es-MX"/>
              </w:rPr>
              <w:t>275.2</w:t>
            </w:r>
          </w:p>
        </w:tc>
      </w:tr>
      <w:tr w:rsidR="00FD723E" w14:paraId="209A1BA5" w14:textId="77777777" w:rsidTr="00201309">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6DF3A39A" w14:textId="297D4F98" w:rsidR="00FD723E" w:rsidRDefault="00FD723E" w:rsidP="00FD723E">
            <w:pPr>
              <w:rPr>
                <w:b/>
                <w:bCs/>
                <w:color w:val="000000"/>
                <w:sz w:val="20"/>
                <w:szCs w:val="20"/>
              </w:rPr>
            </w:pPr>
            <w:r w:rsidRPr="00422B39">
              <w:rPr>
                <w:b/>
                <w:bCs/>
                <w:color w:val="000000"/>
                <w:sz w:val="22"/>
                <w:szCs w:val="22"/>
                <w:lang w:eastAsia="es-MX"/>
              </w:rPr>
              <w:t>Ejercicio 2018</w:t>
            </w:r>
          </w:p>
        </w:tc>
        <w:tc>
          <w:tcPr>
            <w:tcW w:w="1900" w:type="dxa"/>
            <w:tcBorders>
              <w:top w:val="nil"/>
              <w:left w:val="nil"/>
              <w:bottom w:val="single" w:sz="8" w:space="0" w:color="auto"/>
              <w:right w:val="single" w:sz="8" w:space="0" w:color="auto"/>
            </w:tcBorders>
            <w:shd w:val="clear" w:color="auto" w:fill="auto"/>
            <w:noWrap/>
            <w:vAlign w:val="bottom"/>
            <w:hideMark/>
          </w:tcPr>
          <w:p w14:paraId="36D83C9D" w14:textId="458EB84C" w:rsidR="00FD723E" w:rsidRDefault="00FD723E" w:rsidP="00FD723E">
            <w:pPr>
              <w:jc w:val="right"/>
              <w:rPr>
                <w:color w:val="000000"/>
                <w:sz w:val="20"/>
                <w:szCs w:val="20"/>
              </w:rPr>
            </w:pPr>
            <w:r w:rsidRPr="00422B39">
              <w:rPr>
                <w:bCs/>
                <w:color w:val="000000"/>
                <w:sz w:val="22"/>
                <w:szCs w:val="22"/>
                <w:lang w:eastAsia="es-MX"/>
              </w:rPr>
              <w:t>267.1</w:t>
            </w:r>
          </w:p>
        </w:tc>
      </w:tr>
      <w:tr w:rsidR="00FD723E" w14:paraId="724F0D56" w14:textId="77777777" w:rsidTr="00201309">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53233CCA" w14:textId="501160BD" w:rsidR="00FD723E" w:rsidRDefault="00FD723E" w:rsidP="00FD723E">
            <w:pPr>
              <w:rPr>
                <w:b/>
                <w:bCs/>
                <w:color w:val="000000"/>
                <w:sz w:val="20"/>
                <w:szCs w:val="20"/>
              </w:rPr>
            </w:pPr>
            <w:r w:rsidRPr="00422B39">
              <w:rPr>
                <w:b/>
                <w:bCs/>
                <w:color w:val="000000"/>
                <w:sz w:val="22"/>
                <w:szCs w:val="22"/>
                <w:lang w:eastAsia="es-MX"/>
              </w:rPr>
              <w:t>Ejercicio 2019</w:t>
            </w:r>
          </w:p>
        </w:tc>
        <w:tc>
          <w:tcPr>
            <w:tcW w:w="1900" w:type="dxa"/>
            <w:tcBorders>
              <w:top w:val="nil"/>
              <w:left w:val="nil"/>
              <w:bottom w:val="single" w:sz="8" w:space="0" w:color="auto"/>
              <w:right w:val="single" w:sz="8" w:space="0" w:color="auto"/>
            </w:tcBorders>
            <w:shd w:val="clear" w:color="auto" w:fill="auto"/>
            <w:noWrap/>
            <w:vAlign w:val="bottom"/>
            <w:hideMark/>
          </w:tcPr>
          <w:p w14:paraId="09E005E6" w14:textId="6A96B456" w:rsidR="00FD723E" w:rsidRDefault="00FD723E" w:rsidP="00FD723E">
            <w:pPr>
              <w:jc w:val="right"/>
              <w:rPr>
                <w:color w:val="000000"/>
                <w:sz w:val="20"/>
                <w:szCs w:val="20"/>
              </w:rPr>
            </w:pPr>
            <w:r w:rsidRPr="00422B39">
              <w:rPr>
                <w:bCs/>
                <w:color w:val="000000"/>
                <w:sz w:val="22"/>
                <w:szCs w:val="22"/>
                <w:lang w:eastAsia="es-MX"/>
              </w:rPr>
              <w:t>290.9</w:t>
            </w:r>
          </w:p>
        </w:tc>
      </w:tr>
      <w:tr w:rsidR="00FD723E" w14:paraId="5B15A677" w14:textId="77777777" w:rsidTr="00201309">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5DBF92B4" w14:textId="09DEF88E" w:rsidR="00FD723E" w:rsidRDefault="00FD723E" w:rsidP="00FD723E">
            <w:pPr>
              <w:rPr>
                <w:b/>
                <w:bCs/>
                <w:color w:val="000000"/>
                <w:sz w:val="20"/>
                <w:szCs w:val="20"/>
              </w:rPr>
            </w:pPr>
            <w:r w:rsidRPr="00422B39">
              <w:rPr>
                <w:b/>
                <w:bCs/>
                <w:color w:val="000000"/>
                <w:sz w:val="22"/>
                <w:szCs w:val="22"/>
                <w:lang w:eastAsia="es-MX"/>
              </w:rPr>
              <w:t>Ejercicio 2020</w:t>
            </w:r>
          </w:p>
        </w:tc>
        <w:tc>
          <w:tcPr>
            <w:tcW w:w="1900" w:type="dxa"/>
            <w:tcBorders>
              <w:top w:val="nil"/>
              <w:left w:val="nil"/>
              <w:bottom w:val="single" w:sz="8" w:space="0" w:color="auto"/>
              <w:right w:val="single" w:sz="8" w:space="0" w:color="auto"/>
            </w:tcBorders>
            <w:shd w:val="clear" w:color="auto" w:fill="auto"/>
            <w:noWrap/>
            <w:vAlign w:val="bottom"/>
            <w:hideMark/>
          </w:tcPr>
          <w:p w14:paraId="196BE3FA" w14:textId="68E306B0" w:rsidR="00FD723E" w:rsidRDefault="00FD723E" w:rsidP="00FD723E">
            <w:pPr>
              <w:jc w:val="right"/>
              <w:rPr>
                <w:color w:val="000000"/>
                <w:sz w:val="20"/>
                <w:szCs w:val="20"/>
              </w:rPr>
            </w:pPr>
            <w:r w:rsidRPr="00422B39">
              <w:rPr>
                <w:bCs/>
                <w:color w:val="000000"/>
                <w:sz w:val="22"/>
                <w:szCs w:val="22"/>
                <w:lang w:eastAsia="es-MX"/>
              </w:rPr>
              <w:t>364.2</w:t>
            </w:r>
          </w:p>
        </w:tc>
      </w:tr>
      <w:tr w:rsidR="00FD723E" w14:paraId="68D26013" w14:textId="77777777" w:rsidTr="00201309">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68A0095B" w14:textId="3BD5C039" w:rsidR="00FD723E" w:rsidRDefault="00FD723E" w:rsidP="00FD723E">
            <w:pPr>
              <w:rPr>
                <w:b/>
                <w:bCs/>
                <w:color w:val="000000"/>
                <w:sz w:val="20"/>
                <w:szCs w:val="20"/>
              </w:rPr>
            </w:pPr>
            <w:r w:rsidRPr="00422B39">
              <w:rPr>
                <w:b/>
                <w:bCs/>
                <w:color w:val="000000"/>
                <w:sz w:val="22"/>
                <w:szCs w:val="22"/>
                <w:lang w:eastAsia="es-MX"/>
              </w:rPr>
              <w:t>Ejercicio 2021</w:t>
            </w:r>
          </w:p>
        </w:tc>
        <w:tc>
          <w:tcPr>
            <w:tcW w:w="1900" w:type="dxa"/>
            <w:tcBorders>
              <w:top w:val="nil"/>
              <w:left w:val="nil"/>
              <w:bottom w:val="single" w:sz="8" w:space="0" w:color="auto"/>
              <w:right w:val="single" w:sz="8" w:space="0" w:color="auto"/>
            </w:tcBorders>
            <w:shd w:val="clear" w:color="auto" w:fill="auto"/>
            <w:noWrap/>
            <w:vAlign w:val="bottom"/>
            <w:hideMark/>
          </w:tcPr>
          <w:p w14:paraId="5E93D800" w14:textId="26D7719B" w:rsidR="00FD723E" w:rsidRDefault="00FD723E" w:rsidP="00FD723E">
            <w:pPr>
              <w:jc w:val="right"/>
              <w:rPr>
                <w:color w:val="000000"/>
                <w:sz w:val="20"/>
                <w:szCs w:val="20"/>
              </w:rPr>
            </w:pPr>
            <w:r w:rsidRPr="00422B39">
              <w:rPr>
                <w:bCs/>
                <w:color w:val="000000"/>
                <w:sz w:val="22"/>
                <w:szCs w:val="22"/>
                <w:lang w:eastAsia="es-MX"/>
              </w:rPr>
              <w:t>351.6</w:t>
            </w:r>
          </w:p>
        </w:tc>
      </w:tr>
      <w:tr w:rsidR="00FD723E" w14:paraId="2D115354" w14:textId="77777777" w:rsidTr="00201309">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69BC9E34" w14:textId="29F1F792" w:rsidR="00FD723E" w:rsidRDefault="00FD723E" w:rsidP="00FD723E">
            <w:pPr>
              <w:rPr>
                <w:b/>
                <w:bCs/>
                <w:color w:val="000000"/>
                <w:sz w:val="20"/>
                <w:szCs w:val="20"/>
              </w:rPr>
            </w:pPr>
            <w:r w:rsidRPr="00422B39">
              <w:rPr>
                <w:b/>
                <w:bCs/>
                <w:color w:val="000000"/>
                <w:sz w:val="22"/>
                <w:szCs w:val="22"/>
                <w:lang w:eastAsia="es-MX"/>
              </w:rPr>
              <w:t>Ejercicio 2022</w:t>
            </w:r>
          </w:p>
        </w:tc>
        <w:tc>
          <w:tcPr>
            <w:tcW w:w="1900" w:type="dxa"/>
            <w:tcBorders>
              <w:top w:val="nil"/>
              <w:left w:val="nil"/>
              <w:bottom w:val="single" w:sz="8" w:space="0" w:color="auto"/>
              <w:right w:val="single" w:sz="8" w:space="0" w:color="auto"/>
            </w:tcBorders>
            <w:shd w:val="clear" w:color="auto" w:fill="auto"/>
            <w:noWrap/>
            <w:vAlign w:val="bottom"/>
            <w:hideMark/>
          </w:tcPr>
          <w:p w14:paraId="040E20EA" w14:textId="784E1AF6" w:rsidR="00FD723E" w:rsidRDefault="00FD723E" w:rsidP="00FD723E">
            <w:pPr>
              <w:jc w:val="right"/>
              <w:rPr>
                <w:color w:val="000000"/>
                <w:sz w:val="20"/>
                <w:szCs w:val="20"/>
              </w:rPr>
            </w:pPr>
            <w:r w:rsidRPr="00422B39">
              <w:rPr>
                <w:color w:val="000000"/>
                <w:sz w:val="22"/>
                <w:szCs w:val="22"/>
                <w:lang w:eastAsia="es-MX"/>
              </w:rPr>
              <w:t>377.9</w:t>
            </w:r>
          </w:p>
        </w:tc>
      </w:tr>
      <w:tr w:rsidR="00FD723E" w14:paraId="7CF55396" w14:textId="77777777" w:rsidTr="00201309">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0CB67856" w14:textId="6611371D" w:rsidR="00FD723E" w:rsidRDefault="00FD723E" w:rsidP="00FD723E">
            <w:pPr>
              <w:rPr>
                <w:b/>
                <w:bCs/>
                <w:color w:val="000000"/>
                <w:sz w:val="20"/>
                <w:szCs w:val="20"/>
              </w:rPr>
            </w:pPr>
            <w:r w:rsidRPr="00422B39">
              <w:rPr>
                <w:b/>
                <w:bCs/>
                <w:color w:val="000000"/>
                <w:sz w:val="22"/>
                <w:szCs w:val="22"/>
                <w:lang w:eastAsia="es-MX"/>
              </w:rPr>
              <w:t>Ejercicio 2023</w:t>
            </w:r>
          </w:p>
        </w:tc>
        <w:tc>
          <w:tcPr>
            <w:tcW w:w="1900" w:type="dxa"/>
            <w:tcBorders>
              <w:top w:val="nil"/>
              <w:left w:val="nil"/>
              <w:bottom w:val="single" w:sz="8" w:space="0" w:color="auto"/>
              <w:right w:val="single" w:sz="8" w:space="0" w:color="auto"/>
            </w:tcBorders>
            <w:shd w:val="clear" w:color="auto" w:fill="auto"/>
            <w:noWrap/>
            <w:vAlign w:val="bottom"/>
            <w:hideMark/>
          </w:tcPr>
          <w:p w14:paraId="4F334545" w14:textId="6324482B" w:rsidR="00FD723E" w:rsidRDefault="00FD723E" w:rsidP="00FD723E">
            <w:pPr>
              <w:jc w:val="right"/>
              <w:rPr>
                <w:color w:val="000000"/>
                <w:sz w:val="20"/>
                <w:szCs w:val="20"/>
              </w:rPr>
            </w:pPr>
            <w:r w:rsidRPr="00422B39">
              <w:rPr>
                <w:color w:val="000000"/>
                <w:sz w:val="22"/>
                <w:szCs w:val="22"/>
                <w:lang w:eastAsia="es-MX"/>
              </w:rPr>
              <w:t>413.2</w:t>
            </w:r>
          </w:p>
        </w:tc>
      </w:tr>
      <w:tr w:rsidR="00FD723E" w14:paraId="07BE2D70" w14:textId="77777777" w:rsidTr="00201309">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tcPr>
          <w:p w14:paraId="4B211B8B" w14:textId="01F197A8" w:rsidR="00FD723E" w:rsidRDefault="00FD723E" w:rsidP="00FD723E">
            <w:pPr>
              <w:rPr>
                <w:b/>
                <w:bCs/>
                <w:color w:val="000000"/>
                <w:sz w:val="20"/>
                <w:szCs w:val="20"/>
              </w:rPr>
            </w:pPr>
            <w:r w:rsidRPr="00422B39">
              <w:rPr>
                <w:b/>
                <w:bCs/>
                <w:color w:val="000000"/>
                <w:sz w:val="22"/>
                <w:szCs w:val="22"/>
                <w:lang w:eastAsia="es-MX"/>
              </w:rPr>
              <w:t>*Ejercicio 2024</w:t>
            </w:r>
          </w:p>
        </w:tc>
        <w:tc>
          <w:tcPr>
            <w:tcW w:w="1900" w:type="dxa"/>
            <w:tcBorders>
              <w:top w:val="nil"/>
              <w:left w:val="nil"/>
              <w:bottom w:val="single" w:sz="8" w:space="0" w:color="auto"/>
              <w:right w:val="single" w:sz="8" w:space="0" w:color="auto"/>
            </w:tcBorders>
            <w:shd w:val="clear" w:color="auto" w:fill="auto"/>
            <w:noWrap/>
            <w:vAlign w:val="bottom"/>
          </w:tcPr>
          <w:p w14:paraId="502A7458" w14:textId="2C53A913" w:rsidR="00FD723E" w:rsidRDefault="00FD723E" w:rsidP="00FD723E">
            <w:pPr>
              <w:jc w:val="right"/>
              <w:rPr>
                <w:color w:val="000000"/>
                <w:sz w:val="20"/>
                <w:szCs w:val="20"/>
              </w:rPr>
            </w:pPr>
            <w:r w:rsidRPr="00422B39">
              <w:rPr>
                <w:b/>
                <w:bCs/>
                <w:color w:val="000000"/>
                <w:sz w:val="22"/>
                <w:szCs w:val="22"/>
                <w:lang w:eastAsia="es-MX"/>
              </w:rPr>
              <w:t>309.5</w:t>
            </w:r>
          </w:p>
        </w:tc>
      </w:tr>
      <w:tr w:rsidR="00FD723E" w14:paraId="1F0C74BA" w14:textId="77777777" w:rsidTr="00201309">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14:paraId="6A94946E" w14:textId="6D5615D7" w:rsidR="00FD723E" w:rsidRDefault="00FD723E" w:rsidP="00FD723E">
            <w:pPr>
              <w:jc w:val="center"/>
              <w:rPr>
                <w:b/>
                <w:bCs/>
                <w:color w:val="000000"/>
                <w:sz w:val="20"/>
                <w:szCs w:val="20"/>
              </w:rPr>
            </w:pPr>
            <w:r w:rsidRPr="00422B39">
              <w:rPr>
                <w:b/>
                <w:bCs/>
                <w:color w:val="000000"/>
                <w:sz w:val="22"/>
                <w:szCs w:val="22"/>
                <w:lang w:eastAsia="es-MX"/>
              </w:rPr>
              <w:t>SUMA</w:t>
            </w:r>
          </w:p>
        </w:tc>
        <w:tc>
          <w:tcPr>
            <w:tcW w:w="1900" w:type="dxa"/>
            <w:tcBorders>
              <w:top w:val="nil"/>
              <w:left w:val="nil"/>
              <w:bottom w:val="single" w:sz="8" w:space="0" w:color="auto"/>
              <w:right w:val="single" w:sz="8" w:space="0" w:color="auto"/>
            </w:tcBorders>
            <w:shd w:val="clear" w:color="auto" w:fill="auto"/>
            <w:noWrap/>
            <w:vAlign w:val="bottom"/>
            <w:hideMark/>
          </w:tcPr>
          <w:p w14:paraId="610F3260" w14:textId="4243B991" w:rsidR="00FD723E" w:rsidRDefault="00FD723E" w:rsidP="00FD723E">
            <w:pPr>
              <w:jc w:val="right"/>
              <w:rPr>
                <w:b/>
                <w:bCs/>
                <w:color w:val="000000"/>
                <w:sz w:val="20"/>
                <w:szCs w:val="20"/>
              </w:rPr>
            </w:pPr>
            <w:r w:rsidRPr="00422B39">
              <w:rPr>
                <w:b/>
                <w:bCs/>
                <w:color w:val="000000"/>
                <w:sz w:val="22"/>
                <w:szCs w:val="22"/>
                <w:lang w:eastAsia="es-MX"/>
              </w:rPr>
              <w:t xml:space="preserve">2,649.6 </w:t>
            </w:r>
          </w:p>
        </w:tc>
      </w:tr>
    </w:tbl>
    <w:p w14:paraId="403F6572" w14:textId="261C021E" w:rsidR="009C37B3" w:rsidRDefault="009C37B3" w:rsidP="009C37B3">
      <w:pPr>
        <w:spacing w:line="360" w:lineRule="auto"/>
        <w:jc w:val="center"/>
        <w:rPr>
          <w:b/>
          <w:sz w:val="20"/>
          <w:szCs w:val="20"/>
        </w:rPr>
      </w:pPr>
      <w:r>
        <w:rPr>
          <w:b/>
          <w:sz w:val="20"/>
          <w:szCs w:val="20"/>
        </w:rPr>
        <w:t>* Cifras al Cierre del mes de septiembre de 202</w:t>
      </w:r>
      <w:r w:rsidR="00FD723E">
        <w:rPr>
          <w:b/>
          <w:sz w:val="20"/>
          <w:szCs w:val="20"/>
        </w:rPr>
        <w:t>4</w:t>
      </w:r>
      <w:r>
        <w:rPr>
          <w:b/>
          <w:sz w:val="20"/>
          <w:szCs w:val="20"/>
        </w:rPr>
        <w:t>.</w:t>
      </w:r>
    </w:p>
    <w:p w14:paraId="5B238C52" w14:textId="77777777" w:rsidR="009C37B3" w:rsidRDefault="009C37B3" w:rsidP="009C37B3">
      <w:pPr>
        <w:spacing w:line="360" w:lineRule="auto"/>
        <w:jc w:val="both"/>
        <w:rPr>
          <w:sz w:val="20"/>
          <w:szCs w:val="20"/>
        </w:rPr>
      </w:pPr>
    </w:p>
    <w:p w14:paraId="7DCB11AF" w14:textId="1D0C60C2" w:rsidR="009C37B3" w:rsidRDefault="00FD723E" w:rsidP="009C37B3">
      <w:pPr>
        <w:spacing w:line="360" w:lineRule="auto"/>
        <w:jc w:val="both"/>
        <w:rPr>
          <w:sz w:val="20"/>
          <w:szCs w:val="20"/>
        </w:rPr>
      </w:pPr>
      <w:r w:rsidRPr="00FD723E">
        <w:rPr>
          <w:sz w:val="20"/>
          <w:szCs w:val="20"/>
        </w:rPr>
        <w:lastRenderedPageBreak/>
        <w:t>El Gobierno del Estado, tiene como prioridad sanear el Sistema Estatal de Pensiones garantizando la solvencia de la Institución e impulsando el otorgamiento y recuperación de créditos. En los últimos años se han realizado las aportaciones al Fondo de Créditos por 150 Millones de pesos</w:t>
      </w:r>
      <w:r>
        <w:rPr>
          <w:sz w:val="20"/>
          <w:szCs w:val="20"/>
        </w:rPr>
        <w:t>.</w:t>
      </w:r>
    </w:p>
    <w:p w14:paraId="72937DB3" w14:textId="77777777" w:rsidR="00FD723E" w:rsidRDefault="00FD723E" w:rsidP="009C37B3">
      <w:pPr>
        <w:spacing w:line="360" w:lineRule="auto"/>
        <w:jc w:val="both"/>
        <w:rPr>
          <w:sz w:val="20"/>
          <w:szCs w:val="20"/>
        </w:rPr>
      </w:pPr>
    </w:p>
    <w:p w14:paraId="1F4A31F8" w14:textId="7C6BA6F8" w:rsidR="00FD723E" w:rsidRDefault="00FD723E" w:rsidP="00FD723E">
      <w:pPr>
        <w:spacing w:line="360" w:lineRule="auto"/>
        <w:jc w:val="center"/>
        <w:rPr>
          <w:sz w:val="20"/>
          <w:szCs w:val="20"/>
        </w:rPr>
      </w:pPr>
      <w:r>
        <w:rPr>
          <w:rFonts w:ascii="Arial" w:hAnsi="Arial" w:cs="Arial"/>
          <w:noProof/>
          <w:lang w:val="es-MX" w:eastAsia="es-MX"/>
        </w:rPr>
        <w:drawing>
          <wp:inline distT="0" distB="0" distL="0" distR="0" wp14:anchorId="48F17AEB" wp14:editId="730568E7">
            <wp:extent cx="4230093" cy="2567544"/>
            <wp:effectExtent l="0" t="0" r="0" b="4445"/>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9356" cy="2579236"/>
                    </a:xfrm>
                    <a:prstGeom prst="rect">
                      <a:avLst/>
                    </a:prstGeom>
                    <a:noFill/>
                  </pic:spPr>
                </pic:pic>
              </a:graphicData>
            </a:graphic>
          </wp:inline>
        </w:drawing>
      </w:r>
    </w:p>
    <w:p w14:paraId="727255FD" w14:textId="77777777" w:rsidR="009C37B3" w:rsidRDefault="009C37B3" w:rsidP="009C37B3">
      <w:pPr>
        <w:spacing w:line="360" w:lineRule="auto"/>
        <w:jc w:val="both"/>
        <w:rPr>
          <w:sz w:val="20"/>
          <w:szCs w:val="20"/>
        </w:rPr>
      </w:pPr>
    </w:p>
    <w:p w14:paraId="55E32C6A" w14:textId="77777777" w:rsidR="001867AF" w:rsidRDefault="001867AF" w:rsidP="009C37B3">
      <w:pPr>
        <w:spacing w:line="360" w:lineRule="auto"/>
        <w:jc w:val="both"/>
        <w:rPr>
          <w:b/>
          <w:sz w:val="20"/>
          <w:szCs w:val="20"/>
        </w:rPr>
      </w:pPr>
    </w:p>
    <w:p w14:paraId="31856B55" w14:textId="77777777" w:rsidR="009C37B3" w:rsidRDefault="009C37B3" w:rsidP="009C37B3">
      <w:pPr>
        <w:spacing w:line="360" w:lineRule="auto"/>
        <w:jc w:val="both"/>
        <w:rPr>
          <w:b/>
          <w:sz w:val="20"/>
          <w:szCs w:val="20"/>
        </w:rPr>
      </w:pPr>
      <w:r>
        <w:rPr>
          <w:b/>
          <w:sz w:val="20"/>
          <w:szCs w:val="20"/>
        </w:rPr>
        <w:t>Deuda Pública</w:t>
      </w:r>
    </w:p>
    <w:p w14:paraId="66736861" w14:textId="77777777" w:rsidR="009C37B3" w:rsidRDefault="009C37B3" w:rsidP="009C37B3">
      <w:pPr>
        <w:spacing w:line="360" w:lineRule="auto"/>
        <w:jc w:val="both"/>
        <w:rPr>
          <w:b/>
          <w:sz w:val="20"/>
          <w:szCs w:val="20"/>
        </w:rPr>
      </w:pPr>
    </w:p>
    <w:p w14:paraId="43B731CE" w14:textId="03590C23" w:rsidR="009C37B3" w:rsidRDefault="00201309" w:rsidP="009C37B3">
      <w:pPr>
        <w:spacing w:line="360" w:lineRule="auto"/>
        <w:jc w:val="both"/>
        <w:rPr>
          <w:sz w:val="20"/>
          <w:szCs w:val="20"/>
          <w:lang w:val="es-ES_tradnl"/>
        </w:rPr>
      </w:pPr>
      <w:r w:rsidRPr="00201309">
        <w:rPr>
          <w:sz w:val="20"/>
          <w:szCs w:val="20"/>
          <w:lang w:val="es-ES_tradnl"/>
        </w:rPr>
        <w:t xml:space="preserve">Una de las políticas de esta Administración ha sido continuar con </w:t>
      </w:r>
      <w:proofErr w:type="gramStart"/>
      <w:r w:rsidRPr="00201309">
        <w:rPr>
          <w:sz w:val="20"/>
          <w:szCs w:val="20"/>
          <w:lang w:val="es-ES_tradnl"/>
        </w:rPr>
        <w:t>cero deuda</w:t>
      </w:r>
      <w:proofErr w:type="gramEnd"/>
      <w:r w:rsidRPr="00201309">
        <w:rPr>
          <w:sz w:val="20"/>
          <w:szCs w:val="20"/>
          <w:lang w:val="es-ES_tradnl"/>
        </w:rPr>
        <w:t>, para el mantenimiento de finanzas públicas sanas, lo cual ha sido reconocido a nivel nacional por parte del Gobierno Federal en ser el único estado hasta el momento de no contraer deuda, todo ello a pesar de la situación actual a nivel nacional e internacional, sin embargo, considerando que el deterioro de los resultados fiscales podría conducir al requerimiento de recursos para proyectos de infraestructura.</w:t>
      </w:r>
    </w:p>
    <w:p w14:paraId="0A3356BC" w14:textId="77777777" w:rsidR="00201309" w:rsidRDefault="00201309" w:rsidP="009C37B3">
      <w:pPr>
        <w:spacing w:line="360" w:lineRule="auto"/>
        <w:jc w:val="both"/>
        <w:rPr>
          <w:sz w:val="20"/>
          <w:szCs w:val="20"/>
          <w:lang w:val="es-ES_tradnl"/>
        </w:rPr>
      </w:pPr>
    </w:p>
    <w:p w14:paraId="65FE842D" w14:textId="77777777" w:rsidR="009C37B3" w:rsidRDefault="009C37B3" w:rsidP="009C37B3">
      <w:pPr>
        <w:spacing w:line="360" w:lineRule="auto"/>
        <w:jc w:val="both"/>
        <w:rPr>
          <w:b/>
          <w:sz w:val="20"/>
          <w:szCs w:val="20"/>
        </w:rPr>
      </w:pPr>
      <w:r>
        <w:rPr>
          <w:b/>
          <w:sz w:val="20"/>
          <w:szCs w:val="20"/>
        </w:rPr>
        <w:t>Menor crecimiento económico</w:t>
      </w:r>
    </w:p>
    <w:p w14:paraId="7021921A" w14:textId="77777777" w:rsidR="009C37B3" w:rsidRDefault="009C37B3" w:rsidP="009C37B3">
      <w:pPr>
        <w:spacing w:line="360" w:lineRule="auto"/>
        <w:jc w:val="both"/>
        <w:rPr>
          <w:b/>
          <w:sz w:val="20"/>
          <w:szCs w:val="20"/>
        </w:rPr>
      </w:pPr>
    </w:p>
    <w:p w14:paraId="4D20E9D6" w14:textId="14DD8784" w:rsidR="0012773A" w:rsidRPr="0012773A" w:rsidRDefault="00201309" w:rsidP="0012773A">
      <w:pPr>
        <w:spacing w:line="360" w:lineRule="auto"/>
        <w:jc w:val="both"/>
        <w:rPr>
          <w:sz w:val="20"/>
          <w:szCs w:val="20"/>
        </w:rPr>
      </w:pPr>
      <w:r w:rsidRPr="00201309">
        <w:rPr>
          <w:sz w:val="20"/>
          <w:szCs w:val="20"/>
        </w:rPr>
        <w:t>La actividad económica de Tlaxcala tuvo un crecimiento de 1.2 % en el primer trimestre de 2024 frente al trimestre inmediato anterior, mientras que en su comparación con el periodo enero–marzo de 2023 registró un retroceso de 0.7 %, según informe del Instituto Nacional de Estadística y Geografía (INEGI).</w:t>
      </w:r>
    </w:p>
    <w:p w14:paraId="02B7941B" w14:textId="77777777" w:rsidR="0012773A" w:rsidRPr="0012773A" w:rsidRDefault="0012773A" w:rsidP="0012773A">
      <w:pPr>
        <w:spacing w:line="360" w:lineRule="auto"/>
        <w:jc w:val="both"/>
        <w:rPr>
          <w:sz w:val="20"/>
          <w:szCs w:val="20"/>
        </w:rPr>
      </w:pPr>
    </w:p>
    <w:p w14:paraId="5C336DA4" w14:textId="7CE7F54B" w:rsidR="0012773A" w:rsidRDefault="00201309" w:rsidP="0012773A">
      <w:pPr>
        <w:spacing w:line="360" w:lineRule="auto"/>
        <w:jc w:val="both"/>
        <w:rPr>
          <w:sz w:val="20"/>
          <w:szCs w:val="20"/>
        </w:rPr>
      </w:pPr>
      <w:r w:rsidRPr="00201309">
        <w:rPr>
          <w:sz w:val="20"/>
          <w:szCs w:val="20"/>
        </w:rPr>
        <w:lastRenderedPageBreak/>
        <w:t xml:space="preserve">El Indicador Trimestral de la Actividad Económica Estatal (ITAEE) es un indicador de coyuntura que ofrece un panorama sobre la evolución económica de las entidades federativas del país, durante el primer trimestre de 2024 Tlaxcala mostró en las actividades </w:t>
      </w:r>
      <w:r w:rsidR="006D774E">
        <w:rPr>
          <w:sz w:val="20"/>
          <w:szCs w:val="20"/>
        </w:rPr>
        <w:t>p</w:t>
      </w:r>
      <w:r w:rsidRPr="00201309">
        <w:rPr>
          <w:sz w:val="20"/>
          <w:szCs w:val="20"/>
        </w:rPr>
        <w:t xml:space="preserve">rimarias un decremento de 5.8%, y un incremento en las actividades </w:t>
      </w:r>
      <w:r w:rsidR="006D774E">
        <w:rPr>
          <w:sz w:val="20"/>
          <w:szCs w:val="20"/>
        </w:rPr>
        <w:t>s</w:t>
      </w:r>
      <w:r w:rsidRPr="00201309">
        <w:rPr>
          <w:sz w:val="20"/>
          <w:szCs w:val="20"/>
        </w:rPr>
        <w:t xml:space="preserve">ecundarias y </w:t>
      </w:r>
      <w:r w:rsidR="006D774E">
        <w:rPr>
          <w:sz w:val="20"/>
          <w:szCs w:val="20"/>
        </w:rPr>
        <w:t>t</w:t>
      </w:r>
      <w:r w:rsidRPr="00201309">
        <w:rPr>
          <w:sz w:val="20"/>
          <w:szCs w:val="20"/>
        </w:rPr>
        <w:t>erciarias de 0.7 y 1.7%, respectivamente</w:t>
      </w:r>
      <w:r w:rsidR="0012773A">
        <w:rPr>
          <w:sz w:val="20"/>
          <w:szCs w:val="20"/>
        </w:rPr>
        <w:t>.</w:t>
      </w:r>
    </w:p>
    <w:p w14:paraId="04CB83BB" w14:textId="77777777" w:rsidR="0012773A" w:rsidRDefault="0012773A" w:rsidP="0012773A">
      <w:pPr>
        <w:spacing w:line="360" w:lineRule="auto"/>
        <w:jc w:val="both"/>
        <w:rPr>
          <w:b/>
          <w:sz w:val="20"/>
          <w:szCs w:val="20"/>
        </w:rPr>
      </w:pPr>
    </w:p>
    <w:p w14:paraId="77F8DC80" w14:textId="77777777" w:rsidR="009C37B3" w:rsidRDefault="009C37B3" w:rsidP="009C37B3">
      <w:pPr>
        <w:spacing w:line="360" w:lineRule="auto"/>
        <w:jc w:val="both"/>
        <w:rPr>
          <w:b/>
          <w:sz w:val="20"/>
          <w:szCs w:val="20"/>
        </w:rPr>
      </w:pPr>
      <w:r>
        <w:rPr>
          <w:b/>
          <w:sz w:val="20"/>
          <w:szCs w:val="20"/>
        </w:rPr>
        <w:t>Actividades Primarias</w:t>
      </w:r>
    </w:p>
    <w:p w14:paraId="21301D2D" w14:textId="77777777" w:rsidR="009C37B3" w:rsidRDefault="009C37B3" w:rsidP="009C37B3">
      <w:pPr>
        <w:spacing w:line="360" w:lineRule="auto"/>
        <w:jc w:val="both"/>
        <w:rPr>
          <w:b/>
          <w:sz w:val="20"/>
          <w:szCs w:val="20"/>
        </w:rPr>
      </w:pPr>
    </w:p>
    <w:p w14:paraId="4DDC18CB" w14:textId="4BD1BC2C" w:rsidR="009C37B3" w:rsidRDefault="00201309" w:rsidP="009C37B3">
      <w:pPr>
        <w:spacing w:line="360" w:lineRule="auto"/>
        <w:jc w:val="both"/>
        <w:rPr>
          <w:sz w:val="20"/>
          <w:szCs w:val="20"/>
        </w:rPr>
      </w:pPr>
      <w:r w:rsidRPr="00201309">
        <w:rPr>
          <w:sz w:val="20"/>
          <w:szCs w:val="20"/>
        </w:rPr>
        <w:t>Incluyen agricultura, cría y explotación de animales, aprovechamiento forestal, pesca y caza, reportaron una variación anual de 5.8% en el primer trimestre de 2024, debido, sobre todo, al comportamiento de la agricultura</w:t>
      </w:r>
      <w:r w:rsidR="0012773A" w:rsidRPr="0012773A">
        <w:rPr>
          <w:sz w:val="20"/>
          <w:szCs w:val="20"/>
        </w:rPr>
        <w:t>.</w:t>
      </w:r>
    </w:p>
    <w:p w14:paraId="0A9B20FF" w14:textId="77777777" w:rsidR="0012773A" w:rsidRDefault="0012773A" w:rsidP="009C37B3">
      <w:pPr>
        <w:spacing w:line="360" w:lineRule="auto"/>
        <w:jc w:val="both"/>
        <w:rPr>
          <w:sz w:val="20"/>
          <w:szCs w:val="20"/>
        </w:rPr>
      </w:pPr>
    </w:p>
    <w:p w14:paraId="7C4D91C0" w14:textId="38DC495D" w:rsidR="0012773A" w:rsidRDefault="00201309" w:rsidP="009C37B3">
      <w:pPr>
        <w:spacing w:line="360" w:lineRule="auto"/>
        <w:jc w:val="both"/>
        <w:rPr>
          <w:sz w:val="20"/>
          <w:szCs w:val="20"/>
        </w:rPr>
      </w:pPr>
      <w:r w:rsidRPr="0067574B">
        <w:rPr>
          <w:noProof/>
          <w:lang w:val="es-MX" w:eastAsia="es-MX"/>
        </w:rPr>
        <w:drawing>
          <wp:inline distT="0" distB="0" distL="0" distR="0" wp14:anchorId="75F75537" wp14:editId="2B8CDF4E">
            <wp:extent cx="5179695" cy="4526343"/>
            <wp:effectExtent l="0" t="0" r="190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900" r="5211" b="2380"/>
                    <a:stretch/>
                  </pic:blipFill>
                  <pic:spPr bwMode="auto">
                    <a:xfrm>
                      <a:off x="0" y="0"/>
                      <a:ext cx="5179695" cy="4526343"/>
                    </a:xfrm>
                    <a:prstGeom prst="rect">
                      <a:avLst/>
                    </a:prstGeom>
                    <a:ln>
                      <a:noFill/>
                    </a:ln>
                    <a:extLst>
                      <a:ext uri="{53640926-AAD7-44D8-BBD7-CCE9431645EC}">
                        <a14:shadowObscured xmlns:a14="http://schemas.microsoft.com/office/drawing/2010/main"/>
                      </a:ext>
                    </a:extLst>
                  </pic:spPr>
                </pic:pic>
              </a:graphicData>
            </a:graphic>
          </wp:inline>
        </w:drawing>
      </w:r>
    </w:p>
    <w:p w14:paraId="0FB00E99" w14:textId="7C698B02" w:rsidR="009C37B3" w:rsidRDefault="009C37B3" w:rsidP="009C37B3">
      <w:pPr>
        <w:spacing w:line="360" w:lineRule="auto"/>
        <w:jc w:val="center"/>
        <w:rPr>
          <w:sz w:val="20"/>
          <w:szCs w:val="20"/>
        </w:rPr>
      </w:pPr>
    </w:p>
    <w:p w14:paraId="565F7233" w14:textId="77777777" w:rsidR="00201309" w:rsidRDefault="00201309" w:rsidP="009C37B3">
      <w:pPr>
        <w:spacing w:line="360" w:lineRule="auto"/>
        <w:jc w:val="center"/>
        <w:rPr>
          <w:sz w:val="20"/>
          <w:szCs w:val="20"/>
        </w:rPr>
      </w:pPr>
    </w:p>
    <w:p w14:paraId="7E944AD3" w14:textId="77777777" w:rsidR="009C37B3" w:rsidRDefault="009C37B3" w:rsidP="009C37B3">
      <w:pPr>
        <w:spacing w:line="360" w:lineRule="auto"/>
        <w:jc w:val="both"/>
        <w:rPr>
          <w:b/>
          <w:sz w:val="20"/>
          <w:szCs w:val="20"/>
        </w:rPr>
      </w:pPr>
      <w:r>
        <w:rPr>
          <w:b/>
          <w:sz w:val="20"/>
          <w:szCs w:val="20"/>
        </w:rPr>
        <w:lastRenderedPageBreak/>
        <w:t>Actividades Secundarias</w:t>
      </w:r>
    </w:p>
    <w:p w14:paraId="1A077D8F" w14:textId="77777777" w:rsidR="009C37B3" w:rsidRDefault="009C37B3" w:rsidP="009C37B3">
      <w:pPr>
        <w:spacing w:line="360" w:lineRule="auto"/>
        <w:jc w:val="both"/>
        <w:rPr>
          <w:b/>
          <w:sz w:val="20"/>
          <w:szCs w:val="20"/>
        </w:rPr>
      </w:pPr>
    </w:p>
    <w:p w14:paraId="2C68A8FF" w14:textId="575EDD00" w:rsidR="009C37B3" w:rsidRDefault="00201309" w:rsidP="009C37B3">
      <w:pPr>
        <w:spacing w:line="360" w:lineRule="auto"/>
        <w:jc w:val="both"/>
        <w:rPr>
          <w:sz w:val="20"/>
          <w:szCs w:val="20"/>
        </w:rPr>
      </w:pPr>
      <w:r w:rsidRPr="00201309">
        <w:rPr>
          <w:sz w:val="20"/>
          <w:szCs w:val="20"/>
        </w:rPr>
        <w:t>Corresponden a los sectores dedicados a la industria de la minería, manufacturas, construcción y electricidad, que en su conjunto reflejaron un incremento a la tasa anual de 0.7% en el primer trimestre de 2024, debido, en mayor medida a la construcción y a las industrias manufactureras</w:t>
      </w:r>
      <w:r w:rsidR="009C37B3">
        <w:rPr>
          <w:sz w:val="20"/>
          <w:szCs w:val="20"/>
        </w:rPr>
        <w:t>.</w:t>
      </w:r>
    </w:p>
    <w:p w14:paraId="049B9AD4" w14:textId="77777777" w:rsidR="00564518" w:rsidRDefault="00564518" w:rsidP="009C37B3">
      <w:pPr>
        <w:spacing w:line="360" w:lineRule="auto"/>
        <w:jc w:val="both"/>
        <w:rPr>
          <w:sz w:val="20"/>
          <w:szCs w:val="20"/>
        </w:rPr>
      </w:pPr>
    </w:p>
    <w:p w14:paraId="608F6180" w14:textId="79074AD5" w:rsidR="00564518" w:rsidRDefault="00201309" w:rsidP="009C37B3">
      <w:pPr>
        <w:spacing w:line="360" w:lineRule="auto"/>
        <w:jc w:val="both"/>
        <w:rPr>
          <w:sz w:val="20"/>
          <w:szCs w:val="20"/>
        </w:rPr>
      </w:pPr>
      <w:r w:rsidRPr="00080032">
        <w:rPr>
          <w:noProof/>
          <w:lang w:val="es-MX" w:eastAsia="es-MX"/>
        </w:rPr>
        <w:drawing>
          <wp:inline distT="0" distB="0" distL="0" distR="0" wp14:anchorId="27CEB589" wp14:editId="4016FF65">
            <wp:extent cx="4885826" cy="4285397"/>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92" r="2827"/>
                    <a:stretch/>
                  </pic:blipFill>
                  <pic:spPr bwMode="auto">
                    <a:xfrm>
                      <a:off x="0" y="0"/>
                      <a:ext cx="4895585" cy="4293957"/>
                    </a:xfrm>
                    <a:prstGeom prst="rect">
                      <a:avLst/>
                    </a:prstGeom>
                    <a:ln>
                      <a:noFill/>
                    </a:ln>
                    <a:extLst>
                      <a:ext uri="{53640926-AAD7-44D8-BBD7-CCE9431645EC}">
                        <a14:shadowObscured xmlns:a14="http://schemas.microsoft.com/office/drawing/2010/main"/>
                      </a:ext>
                    </a:extLst>
                  </pic:spPr>
                </pic:pic>
              </a:graphicData>
            </a:graphic>
          </wp:inline>
        </w:drawing>
      </w:r>
    </w:p>
    <w:p w14:paraId="46281481" w14:textId="77777777" w:rsidR="009C37B3" w:rsidRDefault="009C37B3" w:rsidP="009C37B3">
      <w:pPr>
        <w:spacing w:line="360" w:lineRule="auto"/>
        <w:jc w:val="both"/>
        <w:rPr>
          <w:sz w:val="20"/>
          <w:szCs w:val="20"/>
        </w:rPr>
      </w:pPr>
    </w:p>
    <w:p w14:paraId="3DD66B3D" w14:textId="6562DED3" w:rsidR="009C37B3" w:rsidRDefault="00754CF1" w:rsidP="009C37B3">
      <w:pPr>
        <w:spacing w:line="360" w:lineRule="auto"/>
        <w:jc w:val="both"/>
        <w:rPr>
          <w:b/>
          <w:sz w:val="20"/>
          <w:szCs w:val="20"/>
        </w:rPr>
      </w:pPr>
      <w:r>
        <w:rPr>
          <w:noProof/>
          <w:lang w:val="es-MX" w:eastAsia="es-MX"/>
        </w:rPr>
        <mc:AlternateContent>
          <mc:Choice Requires="wps">
            <w:drawing>
              <wp:anchor distT="0" distB="0" distL="114300" distR="114300" simplePos="0" relativeHeight="251725824" behindDoc="0" locked="0" layoutInCell="1" allowOverlap="1" wp14:anchorId="5A04045D" wp14:editId="3CA6C867">
                <wp:simplePos x="0" y="0"/>
                <wp:positionH relativeFrom="column">
                  <wp:posOffset>2433320</wp:posOffset>
                </wp:positionH>
                <wp:positionV relativeFrom="paragraph">
                  <wp:posOffset>3744595</wp:posOffset>
                </wp:positionV>
                <wp:extent cx="252730" cy="54610"/>
                <wp:effectExtent l="0" t="19050" r="13970" b="21590"/>
                <wp:wrapNone/>
                <wp:docPr id="4" name="Flecha: a la derech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5461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C56D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 o:spid="_x0000_s1026" type="#_x0000_t13" style="position:absolute;margin-left:191.6pt;margin-top:294.85pt;width:19.9pt;height: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" adj="19266" fillcolor="red" strokecolor="red" strokeweight="1pt">
                <v:path arrowok="t"/>
              </v:shape>
            </w:pict>
          </mc:Fallback>
        </mc:AlternateContent>
      </w:r>
      <w:r w:rsidR="009C37B3">
        <w:rPr>
          <w:b/>
          <w:sz w:val="20"/>
          <w:szCs w:val="20"/>
        </w:rPr>
        <w:t>Actividades Terciarias</w:t>
      </w:r>
    </w:p>
    <w:p w14:paraId="65DCC9BE" w14:textId="77777777" w:rsidR="009C37B3" w:rsidRDefault="009C37B3" w:rsidP="009C37B3">
      <w:pPr>
        <w:spacing w:line="360" w:lineRule="auto"/>
        <w:jc w:val="both"/>
        <w:rPr>
          <w:b/>
          <w:sz w:val="20"/>
          <w:szCs w:val="20"/>
        </w:rPr>
      </w:pPr>
    </w:p>
    <w:p w14:paraId="62345BE8" w14:textId="2B52F319" w:rsidR="009C37B3" w:rsidRDefault="00201309" w:rsidP="009C37B3">
      <w:pPr>
        <w:spacing w:line="360" w:lineRule="auto"/>
        <w:jc w:val="both"/>
        <w:rPr>
          <w:sz w:val="20"/>
          <w:szCs w:val="20"/>
        </w:rPr>
      </w:pPr>
      <w:r w:rsidRPr="00201309">
        <w:rPr>
          <w:sz w:val="20"/>
          <w:szCs w:val="20"/>
        </w:rPr>
        <w:t>De igual manera la Entidad en estas actividades mostró un incremento de 1.7%, en el primer trimestre de 2024; que incluye los sectores dedicados a la distribución de bienes y aquellas actividades relativas a operaciones con información o con activos, así como a servicios cuyo insumo principal es el conocimiento y la experiencia de personal</w:t>
      </w:r>
      <w:r w:rsidR="009C37B3">
        <w:rPr>
          <w:sz w:val="20"/>
          <w:szCs w:val="20"/>
        </w:rPr>
        <w:t xml:space="preserve">. </w:t>
      </w:r>
    </w:p>
    <w:p w14:paraId="11B3E881" w14:textId="77777777" w:rsidR="00564518" w:rsidRDefault="00564518" w:rsidP="009C37B3">
      <w:pPr>
        <w:spacing w:line="360" w:lineRule="auto"/>
        <w:jc w:val="both"/>
        <w:rPr>
          <w:sz w:val="20"/>
          <w:szCs w:val="20"/>
        </w:rPr>
      </w:pPr>
    </w:p>
    <w:p w14:paraId="3DEB4F97" w14:textId="1E2B2DA4" w:rsidR="00564518" w:rsidRDefault="00201309" w:rsidP="009C37B3">
      <w:pPr>
        <w:spacing w:line="360" w:lineRule="auto"/>
        <w:jc w:val="both"/>
        <w:rPr>
          <w:sz w:val="20"/>
          <w:szCs w:val="20"/>
        </w:rPr>
      </w:pPr>
      <w:r w:rsidRPr="000E50DA">
        <w:rPr>
          <w:noProof/>
          <w:sz w:val="28"/>
          <w:lang w:val="es-MX" w:eastAsia="es-MX"/>
        </w:rPr>
        <w:lastRenderedPageBreak/>
        <w:drawing>
          <wp:inline distT="0" distB="0" distL="0" distR="0" wp14:anchorId="7982ADEA" wp14:editId="31E53157">
            <wp:extent cx="4541708" cy="3971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58" r="3912" b="1390"/>
                    <a:stretch/>
                  </pic:blipFill>
                  <pic:spPr bwMode="auto">
                    <a:xfrm>
                      <a:off x="0" y="0"/>
                      <a:ext cx="4547078" cy="3976621"/>
                    </a:xfrm>
                    <a:prstGeom prst="rect">
                      <a:avLst/>
                    </a:prstGeom>
                    <a:ln>
                      <a:noFill/>
                    </a:ln>
                    <a:extLst>
                      <a:ext uri="{53640926-AAD7-44D8-BBD7-CCE9431645EC}">
                        <a14:shadowObscured xmlns:a14="http://schemas.microsoft.com/office/drawing/2010/main"/>
                      </a:ext>
                    </a:extLst>
                  </pic:spPr>
                </pic:pic>
              </a:graphicData>
            </a:graphic>
          </wp:inline>
        </w:drawing>
      </w:r>
    </w:p>
    <w:p w14:paraId="02A9E5AE" w14:textId="77777777" w:rsidR="00564518" w:rsidRDefault="00564518" w:rsidP="009C37B3">
      <w:pPr>
        <w:spacing w:line="360" w:lineRule="auto"/>
        <w:jc w:val="both"/>
        <w:rPr>
          <w:sz w:val="20"/>
          <w:szCs w:val="20"/>
        </w:rPr>
      </w:pPr>
    </w:p>
    <w:p w14:paraId="3789087D" w14:textId="2A833A52" w:rsidR="009C37B3" w:rsidRDefault="00201309" w:rsidP="009C37B3">
      <w:pPr>
        <w:spacing w:line="360" w:lineRule="auto"/>
        <w:jc w:val="both"/>
        <w:rPr>
          <w:sz w:val="20"/>
          <w:szCs w:val="20"/>
        </w:rPr>
      </w:pPr>
      <w:r w:rsidRPr="00201309">
        <w:rPr>
          <w:sz w:val="20"/>
          <w:szCs w:val="20"/>
        </w:rPr>
        <w:t>Finalmente, cabe mencionar que, en el primer trimestre de 2024, la actividad económica reportada en Tlaxcala ubicó a la entidad en el lugar 21 a nivel nacional</w:t>
      </w:r>
      <w:r w:rsidR="00564518" w:rsidRPr="00564518">
        <w:rPr>
          <w:sz w:val="20"/>
          <w:szCs w:val="20"/>
        </w:rPr>
        <w:t>.</w:t>
      </w:r>
    </w:p>
    <w:p w14:paraId="3E771B2C" w14:textId="77777777" w:rsidR="008A2E1E" w:rsidRDefault="008A2E1E" w:rsidP="009C37B3">
      <w:pPr>
        <w:spacing w:line="360" w:lineRule="auto"/>
        <w:jc w:val="both"/>
        <w:rPr>
          <w:sz w:val="20"/>
          <w:szCs w:val="20"/>
        </w:rPr>
      </w:pPr>
    </w:p>
    <w:p w14:paraId="0284B52C" w14:textId="498558F4" w:rsidR="009C37B3" w:rsidRDefault="009C37B3" w:rsidP="009C37B3">
      <w:pPr>
        <w:spacing w:line="360" w:lineRule="auto"/>
        <w:jc w:val="center"/>
        <w:rPr>
          <w:b/>
          <w:bCs/>
          <w:sz w:val="20"/>
          <w:szCs w:val="20"/>
        </w:rPr>
      </w:pPr>
    </w:p>
    <w:p w14:paraId="38270F62" w14:textId="794C242F" w:rsidR="009C37B3" w:rsidRDefault="009C37B3" w:rsidP="00D50246">
      <w:pPr>
        <w:pStyle w:val="Prrafodelista"/>
        <w:numPr>
          <w:ilvl w:val="0"/>
          <w:numId w:val="4"/>
        </w:numPr>
        <w:spacing w:line="360" w:lineRule="auto"/>
        <w:jc w:val="both"/>
        <w:rPr>
          <w:b/>
          <w:bCs/>
          <w:sz w:val="20"/>
          <w:szCs w:val="20"/>
        </w:rPr>
      </w:pPr>
      <w:r>
        <w:rPr>
          <w:b/>
          <w:bCs/>
          <w:sz w:val="20"/>
          <w:szCs w:val="20"/>
        </w:rPr>
        <w:t>EVOLUCIÓN DE LAS FINANZAS PÚBLICAS 201</w:t>
      </w:r>
      <w:r w:rsidR="00472533">
        <w:rPr>
          <w:b/>
          <w:bCs/>
          <w:sz w:val="20"/>
          <w:szCs w:val="20"/>
        </w:rPr>
        <w:t>9</w:t>
      </w:r>
      <w:r>
        <w:rPr>
          <w:b/>
          <w:bCs/>
          <w:sz w:val="20"/>
          <w:szCs w:val="20"/>
        </w:rPr>
        <w:t>-202</w:t>
      </w:r>
      <w:r w:rsidR="00472533">
        <w:rPr>
          <w:b/>
          <w:bCs/>
          <w:sz w:val="20"/>
          <w:szCs w:val="20"/>
        </w:rPr>
        <w:t>4</w:t>
      </w:r>
      <w:r>
        <w:rPr>
          <w:b/>
          <w:bCs/>
          <w:sz w:val="20"/>
          <w:szCs w:val="20"/>
        </w:rPr>
        <w:t>.</w:t>
      </w:r>
    </w:p>
    <w:p w14:paraId="4D85F77F" w14:textId="77777777" w:rsidR="009C37B3" w:rsidRDefault="009C37B3" w:rsidP="009C37B3">
      <w:pPr>
        <w:spacing w:line="360" w:lineRule="auto"/>
        <w:jc w:val="both"/>
        <w:rPr>
          <w:b/>
          <w:bCs/>
          <w:sz w:val="20"/>
          <w:szCs w:val="20"/>
        </w:rPr>
      </w:pPr>
    </w:p>
    <w:p w14:paraId="6911DC9C" w14:textId="2934349D" w:rsidR="009C37B3" w:rsidRDefault="009C37B3" w:rsidP="009C37B3">
      <w:pPr>
        <w:pStyle w:val="PRIMERAPLANA"/>
        <w:spacing w:line="360" w:lineRule="auto"/>
        <w:rPr>
          <w:rFonts w:ascii="Times New Roman" w:hAnsi="Times New Roman"/>
          <w:iCs/>
          <w:lang w:val="es-ES"/>
        </w:rPr>
      </w:pPr>
      <w:r>
        <w:rPr>
          <w:rFonts w:ascii="Times New Roman" w:hAnsi="Times New Roman"/>
          <w:iCs/>
          <w:lang w:val="es-ES"/>
        </w:rPr>
        <w:t>A continuación, se presenta el comportamiento en la ejecución del gasto público etiquetado y no etiquetado en los últimos cinco años y el pronóstico de cierre 202</w:t>
      </w:r>
      <w:r w:rsidR="008A2E1E">
        <w:rPr>
          <w:rFonts w:ascii="Times New Roman" w:hAnsi="Times New Roman"/>
          <w:iCs/>
          <w:lang w:val="es-ES"/>
        </w:rPr>
        <w:t>4</w:t>
      </w:r>
      <w:r>
        <w:rPr>
          <w:rFonts w:ascii="Times New Roman" w:hAnsi="Times New Roman"/>
          <w:iCs/>
          <w:lang w:val="es-ES"/>
        </w:rPr>
        <w:t>.</w:t>
      </w:r>
    </w:p>
    <w:p w14:paraId="6D493319" w14:textId="04B4150E" w:rsidR="009C37B3" w:rsidRDefault="00117933" w:rsidP="009C37B3">
      <w:pPr>
        <w:pStyle w:val="PRIMERAPLANA"/>
        <w:spacing w:line="360" w:lineRule="auto"/>
        <w:rPr>
          <w:rFonts w:ascii="Times New Roman" w:hAnsi="Times New Roman"/>
          <w:iCs/>
          <w:lang w:val="es-ES"/>
        </w:rPr>
      </w:pPr>
      <w:r w:rsidRPr="00117933">
        <w:rPr>
          <w:noProof/>
        </w:rPr>
        <w:lastRenderedPageBreak/>
        <w:drawing>
          <wp:inline distT="0" distB="0" distL="0" distR="0" wp14:anchorId="00F0BB30" wp14:editId="13F9E9F7">
            <wp:extent cx="5179695" cy="7138670"/>
            <wp:effectExtent l="0" t="0" r="190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9695" cy="7138670"/>
                    </a:xfrm>
                    <a:prstGeom prst="rect">
                      <a:avLst/>
                    </a:prstGeom>
                    <a:noFill/>
                    <a:ln>
                      <a:noFill/>
                    </a:ln>
                  </pic:spPr>
                </pic:pic>
              </a:graphicData>
            </a:graphic>
          </wp:inline>
        </w:drawing>
      </w:r>
    </w:p>
    <w:p w14:paraId="2AC4B5F7" w14:textId="77777777" w:rsidR="009C37B3" w:rsidRDefault="009C37B3" w:rsidP="009C37B3">
      <w:pPr>
        <w:pStyle w:val="Prrafodelista"/>
        <w:spacing w:line="360" w:lineRule="auto"/>
        <w:ind w:left="1080"/>
        <w:jc w:val="both"/>
        <w:rPr>
          <w:b/>
          <w:sz w:val="20"/>
          <w:szCs w:val="20"/>
        </w:rPr>
      </w:pPr>
    </w:p>
    <w:p w14:paraId="57859E6B" w14:textId="77777777" w:rsidR="009C37B3" w:rsidRDefault="009C37B3" w:rsidP="00D50246">
      <w:pPr>
        <w:pStyle w:val="Prrafodelista"/>
        <w:numPr>
          <w:ilvl w:val="0"/>
          <w:numId w:val="4"/>
        </w:numPr>
        <w:spacing w:line="360" w:lineRule="auto"/>
        <w:jc w:val="both"/>
        <w:rPr>
          <w:b/>
          <w:sz w:val="20"/>
          <w:szCs w:val="20"/>
        </w:rPr>
      </w:pPr>
      <w:r>
        <w:rPr>
          <w:b/>
          <w:sz w:val="20"/>
          <w:szCs w:val="20"/>
        </w:rPr>
        <w:lastRenderedPageBreak/>
        <w:t xml:space="preserve">DISCIPLINA PRESUPUESTAL </w:t>
      </w:r>
    </w:p>
    <w:p w14:paraId="3C1B58F8" w14:textId="77777777" w:rsidR="009C37B3" w:rsidRDefault="009C37B3" w:rsidP="009C37B3">
      <w:pPr>
        <w:spacing w:line="360" w:lineRule="auto"/>
        <w:jc w:val="both"/>
        <w:rPr>
          <w:sz w:val="20"/>
          <w:szCs w:val="20"/>
        </w:rPr>
      </w:pPr>
    </w:p>
    <w:p w14:paraId="003103BB" w14:textId="77777777" w:rsidR="009C37B3" w:rsidRDefault="009C37B3" w:rsidP="009C37B3">
      <w:pPr>
        <w:spacing w:line="360" w:lineRule="auto"/>
        <w:jc w:val="both"/>
        <w:rPr>
          <w:sz w:val="20"/>
          <w:szCs w:val="20"/>
        </w:rPr>
      </w:pPr>
      <w:r>
        <w:rPr>
          <w:sz w:val="20"/>
          <w:szCs w:val="20"/>
        </w:rPr>
        <w:t>La Disciplina es una directriz o política de gasto que obliga a las dependencias del sector público, a ejercer los recursos en los montos, estructuras y plazos previamente fijados por la programación del presupuesto que se autoriza, con apego a la normatividad vigente aplicable.</w:t>
      </w:r>
    </w:p>
    <w:p w14:paraId="7368C40B" w14:textId="77777777" w:rsidR="009C37B3" w:rsidRDefault="009C37B3" w:rsidP="009C37B3">
      <w:pPr>
        <w:spacing w:line="360" w:lineRule="auto"/>
        <w:jc w:val="both"/>
        <w:rPr>
          <w:sz w:val="20"/>
          <w:szCs w:val="20"/>
        </w:rPr>
      </w:pPr>
    </w:p>
    <w:p w14:paraId="1535D329" w14:textId="0F95C4F0" w:rsidR="009C37B3" w:rsidRDefault="009C37B3" w:rsidP="009C37B3">
      <w:pPr>
        <w:spacing w:line="360" w:lineRule="auto"/>
        <w:jc w:val="both"/>
        <w:rPr>
          <w:sz w:val="20"/>
          <w:szCs w:val="20"/>
        </w:rPr>
      </w:pPr>
      <w:r>
        <w:rPr>
          <w:sz w:val="20"/>
          <w:szCs w:val="20"/>
        </w:rPr>
        <w:t>El objetivo de la política económica no es producir cifras y estadísticas armoniosas</w:t>
      </w:r>
      <w:r w:rsidR="00BB7519">
        <w:rPr>
          <w:sz w:val="20"/>
          <w:szCs w:val="20"/>
        </w:rPr>
        <w:t>,</w:t>
      </w:r>
      <w:r>
        <w:rPr>
          <w:sz w:val="20"/>
          <w:szCs w:val="20"/>
        </w:rPr>
        <w:t xml:space="preserve"> sino generar bienestar para la población. Los macro indicadores son un instrumento de medición, no un fin en sí, retomar el camino del crecimiento con austeridad y sin corrupción.</w:t>
      </w:r>
    </w:p>
    <w:p w14:paraId="4CF282D1" w14:textId="77777777" w:rsidR="009C37B3" w:rsidRDefault="009C37B3" w:rsidP="009C37B3">
      <w:pPr>
        <w:spacing w:line="360" w:lineRule="auto"/>
        <w:jc w:val="both"/>
        <w:rPr>
          <w:sz w:val="20"/>
          <w:szCs w:val="20"/>
        </w:rPr>
      </w:pPr>
    </w:p>
    <w:p w14:paraId="0E916B3D" w14:textId="77777777" w:rsidR="009C37B3" w:rsidRDefault="009C37B3" w:rsidP="009C37B3">
      <w:pPr>
        <w:spacing w:line="360" w:lineRule="auto"/>
        <w:jc w:val="both"/>
        <w:rPr>
          <w:sz w:val="20"/>
          <w:szCs w:val="20"/>
        </w:rPr>
      </w:pPr>
      <w:r>
        <w:rPr>
          <w:sz w:val="20"/>
          <w:szCs w:val="20"/>
        </w:rPr>
        <w:t>Los recursos financieros que dispone el Gobierno del Estado son escasos ante necesidades sociales y públicas, toda vez que la principal fuente de recursos la constituyen las transferencias del Gobierno Federal, las cuales provienen de contribuciones federales, es por ello, que el Gobierno del Estado, ha implementado diversas medidas encaminadas a racionalizar el gasto público y a la elaboración de presupuestos realistas en un ámbito de racionalidad, austeridad y disciplina presupuestal, alineadas a las políticas establecidas por el Gobierno Federal.</w:t>
      </w:r>
    </w:p>
    <w:p w14:paraId="7BCBB86E" w14:textId="77777777" w:rsidR="009C37B3" w:rsidRDefault="009C37B3" w:rsidP="009C37B3">
      <w:pPr>
        <w:spacing w:line="360" w:lineRule="auto"/>
        <w:jc w:val="both"/>
        <w:rPr>
          <w:sz w:val="20"/>
          <w:szCs w:val="20"/>
        </w:rPr>
      </w:pPr>
    </w:p>
    <w:p w14:paraId="516F59C8" w14:textId="77777777" w:rsidR="009C37B3" w:rsidRDefault="009C37B3" w:rsidP="009C37B3">
      <w:pPr>
        <w:spacing w:line="360" w:lineRule="auto"/>
        <w:jc w:val="both"/>
        <w:rPr>
          <w:sz w:val="20"/>
          <w:szCs w:val="20"/>
        </w:rPr>
      </w:pPr>
      <w:r>
        <w:rPr>
          <w:sz w:val="20"/>
          <w:szCs w:val="20"/>
        </w:rPr>
        <w:t>De acuerdo al Plan Estatal de Desarrollo 2021-2027 de Tlaxcala, ofrece la construcción de un Gobierno fundamentado en el interés del pueblo y para el pueblo, por lo que se atiene a sus designios y al planteamiento de sus necesidades. Propone, por ello, ir a las causas de los problemas y enlazar cada acción con el resto, en un planteamiento integral y ordenado, de manera que sea posible llevar a cabo un ejercicio sistematizado y basado en la interdependencia, el análisis multidisciplinario y transdisciplinario.</w:t>
      </w:r>
    </w:p>
    <w:p w14:paraId="37D43762" w14:textId="77777777" w:rsidR="009C37B3" w:rsidRDefault="009C37B3" w:rsidP="009C37B3">
      <w:pPr>
        <w:spacing w:line="360" w:lineRule="auto"/>
        <w:jc w:val="both"/>
        <w:rPr>
          <w:sz w:val="20"/>
          <w:szCs w:val="20"/>
        </w:rPr>
      </w:pPr>
    </w:p>
    <w:p w14:paraId="635D6964" w14:textId="289062A6" w:rsidR="009C37B3" w:rsidRDefault="009C37B3" w:rsidP="009C37B3">
      <w:pPr>
        <w:spacing w:line="360" w:lineRule="auto"/>
        <w:jc w:val="both"/>
        <w:rPr>
          <w:sz w:val="20"/>
          <w:szCs w:val="20"/>
        </w:rPr>
      </w:pPr>
      <w:r>
        <w:rPr>
          <w:sz w:val="20"/>
          <w:szCs w:val="20"/>
        </w:rPr>
        <w:t>En la elaboración de la presente Iniciativa</w:t>
      </w:r>
      <w:r>
        <w:rPr>
          <w:rFonts w:eastAsia="Calibri"/>
          <w:sz w:val="20"/>
          <w:szCs w:val="20"/>
        </w:rPr>
        <w:t xml:space="preserve"> de Decreto de Presupuesto de Egresos del Estado de Tlaxca</w:t>
      </w:r>
      <w:r w:rsidR="00234E40">
        <w:rPr>
          <w:rFonts w:eastAsia="Calibri"/>
          <w:sz w:val="20"/>
          <w:szCs w:val="20"/>
        </w:rPr>
        <w:t>la para el Ejercicio Fiscal 2025</w:t>
      </w:r>
      <w:r>
        <w:rPr>
          <w:sz w:val="20"/>
          <w:szCs w:val="20"/>
        </w:rPr>
        <w:t xml:space="preserve">, para evitar un desfasamiento del gasto en relación con los ingresos, que pudiese derivar en resultados deficitarios, los ejecutores de gasto en el ejercicio de sus respectivos presupuestos, consideraron medidas para racionalizar el gasto destinado a las actividades administrativas y de apoyo, con la finalidad de no afectar el cumplimiento de las metas de los programas presupuestarios considerados para su ejecución, procurando el uso de los recursos públicos con la mayor eficiencia, eficacia, transparencia y austeridad, fortaleciendo las acciones tendientes a lograr ahorros y economías, sin disminución de los resultados, y reorientarlos al gasto social, permitiendo a las Dependencias y Entidades contar con una operación administrativa eficiente, acorde al marco normativo y a los sistemas de registro y control del gasto. </w:t>
      </w:r>
    </w:p>
    <w:p w14:paraId="11A1036A" w14:textId="77777777" w:rsidR="009C37B3" w:rsidRDefault="009C37B3" w:rsidP="009C37B3">
      <w:pPr>
        <w:spacing w:line="360" w:lineRule="auto"/>
        <w:jc w:val="both"/>
        <w:rPr>
          <w:sz w:val="20"/>
          <w:szCs w:val="20"/>
        </w:rPr>
      </w:pPr>
    </w:p>
    <w:p w14:paraId="690CA411" w14:textId="77777777" w:rsidR="009C37B3" w:rsidRDefault="009C37B3" w:rsidP="009C37B3">
      <w:pPr>
        <w:spacing w:line="360" w:lineRule="auto"/>
        <w:jc w:val="both"/>
        <w:rPr>
          <w:sz w:val="20"/>
          <w:szCs w:val="20"/>
        </w:rPr>
      </w:pPr>
      <w:r>
        <w:rPr>
          <w:sz w:val="20"/>
          <w:szCs w:val="20"/>
        </w:rPr>
        <w:t>Entre las acciones de disciplina presupuestaria en el ejercicio del gasto público propuestas, se considera la contención de los recursos destinados a servicios personales, esta tendrá como límite, el producto que resulte de aplicar al monto aprobado en el Presupuesto de Egresos del ejercicio inmediato anterior, una tasa de crecimiento equivalente al valor que resulte menor entre: a) El 3 por ciento de crecimiento real; y b) El crecimiento real del Producto Interno Bruto señalado en los Criterios Generales de Política Económica para el ejercicio que se está presupuestando. En caso de que el Producto Interno Bruto presente una variación real negativa para el ejercicio que se está presupuestando, se deberá considerar un crecimiento real igual a cero; además de la reducción del gasto corriente de operación, y la reorientación del presupuesto a los programas sociales de mayor impacto e inclusión social, conforme al diagnóstico del CONEVAL.</w:t>
      </w:r>
    </w:p>
    <w:p w14:paraId="24FF009C" w14:textId="77777777" w:rsidR="009C37B3" w:rsidRDefault="009C37B3" w:rsidP="009C37B3">
      <w:pPr>
        <w:spacing w:line="360" w:lineRule="auto"/>
        <w:jc w:val="both"/>
        <w:rPr>
          <w:sz w:val="20"/>
          <w:szCs w:val="20"/>
        </w:rPr>
      </w:pPr>
    </w:p>
    <w:p w14:paraId="65C731BE" w14:textId="77777777" w:rsidR="009C37B3" w:rsidRDefault="009C37B3" w:rsidP="009C37B3">
      <w:pPr>
        <w:spacing w:line="360" w:lineRule="auto"/>
        <w:jc w:val="both"/>
        <w:rPr>
          <w:b/>
          <w:sz w:val="20"/>
          <w:szCs w:val="20"/>
        </w:rPr>
      </w:pPr>
      <w:r>
        <w:rPr>
          <w:b/>
          <w:sz w:val="20"/>
          <w:szCs w:val="20"/>
        </w:rPr>
        <w:t>TRANSPARENCIA Y RENDICIÓN DE CUENTAS</w:t>
      </w:r>
    </w:p>
    <w:p w14:paraId="25CC3465" w14:textId="77777777" w:rsidR="009C37B3" w:rsidRDefault="009C37B3" w:rsidP="009C37B3">
      <w:pPr>
        <w:spacing w:line="360" w:lineRule="auto"/>
        <w:jc w:val="both"/>
        <w:rPr>
          <w:b/>
          <w:sz w:val="20"/>
          <w:szCs w:val="20"/>
        </w:rPr>
      </w:pPr>
    </w:p>
    <w:p w14:paraId="2602CF86" w14:textId="77777777" w:rsidR="009C37B3" w:rsidRDefault="009C37B3" w:rsidP="009C37B3">
      <w:pPr>
        <w:spacing w:line="360" w:lineRule="auto"/>
        <w:jc w:val="both"/>
        <w:rPr>
          <w:sz w:val="20"/>
          <w:szCs w:val="20"/>
        </w:rPr>
      </w:pPr>
      <w:r>
        <w:rPr>
          <w:sz w:val="20"/>
          <w:szCs w:val="20"/>
        </w:rPr>
        <w:t>En México la transparencia y la rendición de cuentas son pilares imprescindibles de la gestión pública, toda vez que las decisiones que se tomen por parte del Gobierno forzosamente deben estar al alcance de los ciudadanos de una manera accesible, clara y veraz, lo que coadyuva y favorece a la constante vigilancia de los recursos públicos y que estos se ejerzan en estricto apego a la ley.</w:t>
      </w:r>
    </w:p>
    <w:p w14:paraId="54E0106F" w14:textId="77777777" w:rsidR="009C37B3" w:rsidRDefault="009C37B3" w:rsidP="009C37B3">
      <w:pPr>
        <w:spacing w:line="360" w:lineRule="auto"/>
        <w:jc w:val="both"/>
        <w:rPr>
          <w:sz w:val="20"/>
          <w:szCs w:val="20"/>
        </w:rPr>
      </w:pPr>
    </w:p>
    <w:p w14:paraId="32E35A7A" w14:textId="590F3809" w:rsidR="009C37B3" w:rsidRDefault="009C37B3" w:rsidP="009C37B3">
      <w:pPr>
        <w:spacing w:line="360" w:lineRule="auto"/>
        <w:jc w:val="both"/>
        <w:rPr>
          <w:sz w:val="20"/>
          <w:szCs w:val="20"/>
        </w:rPr>
      </w:pPr>
      <w:r>
        <w:rPr>
          <w:sz w:val="20"/>
          <w:szCs w:val="20"/>
        </w:rPr>
        <w:t>La principal diferencia entre la transparencia y la rendición de cuentas es que la transparencia es una parte de la rendición de cuentas, pues mientras que transparentar significa que la información se encuentra publicada en una vitrina a la vista de todos, la rendición de cuentas va más allá, es un proceso</w:t>
      </w:r>
      <w:r w:rsidR="00D37A11">
        <w:rPr>
          <w:sz w:val="20"/>
          <w:szCs w:val="20"/>
        </w:rPr>
        <w:t xml:space="preserve"> </w:t>
      </w:r>
      <w:r>
        <w:rPr>
          <w:sz w:val="20"/>
          <w:szCs w:val="20"/>
        </w:rPr>
        <w:t>que tiene una metodología obligatoria para el manejo y administración del erario, y su incumplimiento conllevará a un castigo. Transparencia significa que las razones de toda decisión gubernamental y administrativa, así como los costos y recursos comprometidos en la aplicación de esa decisión son accesibles, claros y se comunican al público en general.</w:t>
      </w:r>
    </w:p>
    <w:p w14:paraId="5712C03A" w14:textId="77777777" w:rsidR="009C37B3" w:rsidRDefault="009C37B3" w:rsidP="009C37B3">
      <w:pPr>
        <w:spacing w:line="360" w:lineRule="auto"/>
        <w:jc w:val="both"/>
        <w:rPr>
          <w:sz w:val="20"/>
          <w:szCs w:val="20"/>
        </w:rPr>
      </w:pPr>
    </w:p>
    <w:p w14:paraId="05655CF9" w14:textId="77777777" w:rsidR="009C37B3" w:rsidRDefault="009C37B3" w:rsidP="009C37B3">
      <w:pPr>
        <w:spacing w:line="360" w:lineRule="auto"/>
        <w:jc w:val="both"/>
        <w:rPr>
          <w:sz w:val="20"/>
          <w:szCs w:val="20"/>
        </w:rPr>
      </w:pPr>
      <w:r>
        <w:rPr>
          <w:sz w:val="20"/>
          <w:szCs w:val="20"/>
        </w:rPr>
        <w:t xml:space="preserve">El funcionamiento eficiente y eficaz de las instituciones del Estado y el ejercicio ético en la gestión pública, así como el fortalecimiento de los valores que dan sustento a la democracia para alcanzar el pleno respeto de las diferencias de cualquier índole y del derecho de cada quien, a decidir su forma de vida, resultan pilares fundamentales para la consolidación de un sistema democrático. </w:t>
      </w:r>
    </w:p>
    <w:p w14:paraId="1CAC5F27" w14:textId="77777777" w:rsidR="009C37B3" w:rsidRDefault="009C37B3" w:rsidP="009C37B3">
      <w:pPr>
        <w:spacing w:line="360" w:lineRule="auto"/>
        <w:jc w:val="both"/>
        <w:rPr>
          <w:sz w:val="20"/>
          <w:szCs w:val="20"/>
        </w:rPr>
      </w:pPr>
    </w:p>
    <w:p w14:paraId="1BCB1278" w14:textId="77777777" w:rsidR="009C37B3" w:rsidRDefault="009C37B3" w:rsidP="009C37B3">
      <w:pPr>
        <w:spacing w:line="360" w:lineRule="auto"/>
        <w:jc w:val="both"/>
        <w:rPr>
          <w:sz w:val="20"/>
          <w:szCs w:val="20"/>
        </w:rPr>
      </w:pPr>
      <w:r>
        <w:rPr>
          <w:sz w:val="20"/>
          <w:szCs w:val="20"/>
        </w:rPr>
        <w:lastRenderedPageBreak/>
        <w:t>Construir un gobierno transparente y de rendición de cuentas, como principal medida para transformar las condiciones de desarrollo de Tlaxcala, a través de acciones contundentes que consoliden las bases de un Estado sólido.</w:t>
      </w:r>
    </w:p>
    <w:p w14:paraId="58903B04" w14:textId="77777777" w:rsidR="009C37B3" w:rsidRDefault="009C37B3" w:rsidP="009C37B3">
      <w:pPr>
        <w:spacing w:line="360" w:lineRule="auto"/>
        <w:jc w:val="both"/>
        <w:rPr>
          <w:sz w:val="20"/>
          <w:szCs w:val="20"/>
        </w:rPr>
      </w:pPr>
    </w:p>
    <w:p w14:paraId="752A8E39" w14:textId="77777777" w:rsidR="009C37B3" w:rsidRDefault="009C37B3" w:rsidP="009C37B3">
      <w:pPr>
        <w:spacing w:line="360" w:lineRule="auto"/>
        <w:jc w:val="both"/>
        <w:rPr>
          <w:sz w:val="20"/>
          <w:szCs w:val="20"/>
        </w:rPr>
      </w:pPr>
      <w:r>
        <w:rPr>
          <w:sz w:val="20"/>
          <w:szCs w:val="20"/>
        </w:rPr>
        <w:t>La transparencia y la rendición de cuentas en la gestión pública en el Estado se perfilan hacia una nueva cultura política en la cual la participación ciudadana conlleva la existencia de una sociedad más equitativa y justa, de este modo la gobernabilidad democrática dependerá de que los intereses sociales se vean reflejados en acciones de gobierno transparente.</w:t>
      </w:r>
    </w:p>
    <w:p w14:paraId="7C9F0422" w14:textId="77777777" w:rsidR="009C37B3" w:rsidRDefault="009C37B3" w:rsidP="009C37B3">
      <w:pPr>
        <w:spacing w:line="360" w:lineRule="auto"/>
        <w:jc w:val="both"/>
        <w:rPr>
          <w:sz w:val="20"/>
          <w:szCs w:val="20"/>
        </w:rPr>
      </w:pPr>
    </w:p>
    <w:p w14:paraId="7B6E8E0D" w14:textId="77777777" w:rsidR="009C37B3" w:rsidRDefault="009C37B3" w:rsidP="009C37B3">
      <w:pPr>
        <w:spacing w:line="360" w:lineRule="auto"/>
        <w:jc w:val="both"/>
        <w:rPr>
          <w:sz w:val="20"/>
          <w:szCs w:val="20"/>
        </w:rPr>
      </w:pPr>
      <w:r>
        <w:rPr>
          <w:sz w:val="20"/>
          <w:szCs w:val="20"/>
        </w:rPr>
        <w:t>Garantizar una adecuada y oportuna rendición de cuentas de los sujetos obligados a través de la generación y publicación de información sobre el ejercicio de los recursos públicos de manera completa, veraz y oportuna.</w:t>
      </w:r>
    </w:p>
    <w:p w14:paraId="5B4C72BF" w14:textId="77777777" w:rsidR="009C37B3" w:rsidRDefault="009C37B3" w:rsidP="009C37B3">
      <w:pPr>
        <w:spacing w:line="360" w:lineRule="auto"/>
        <w:jc w:val="both"/>
        <w:rPr>
          <w:sz w:val="20"/>
          <w:szCs w:val="20"/>
        </w:rPr>
      </w:pPr>
    </w:p>
    <w:p w14:paraId="1EDAE421" w14:textId="77777777" w:rsidR="009C37B3" w:rsidRDefault="009C37B3" w:rsidP="009C37B3">
      <w:pPr>
        <w:spacing w:line="360" w:lineRule="auto"/>
        <w:jc w:val="both"/>
        <w:rPr>
          <w:b/>
          <w:sz w:val="20"/>
          <w:szCs w:val="20"/>
        </w:rPr>
      </w:pPr>
      <w:r>
        <w:rPr>
          <w:b/>
          <w:sz w:val="20"/>
          <w:szCs w:val="20"/>
        </w:rPr>
        <w:t>CRITERIOS GENERALES DE PRESUPUESTO Y GASTO ESTATAL</w:t>
      </w:r>
    </w:p>
    <w:p w14:paraId="4E6E7831" w14:textId="77777777" w:rsidR="009C37B3" w:rsidRDefault="009C37B3" w:rsidP="009C37B3">
      <w:pPr>
        <w:spacing w:line="360" w:lineRule="auto"/>
        <w:jc w:val="both"/>
        <w:rPr>
          <w:b/>
          <w:sz w:val="20"/>
          <w:szCs w:val="20"/>
        </w:rPr>
      </w:pPr>
    </w:p>
    <w:p w14:paraId="7695533B" w14:textId="77777777" w:rsidR="00314E2F" w:rsidRPr="00314E2F" w:rsidRDefault="00314E2F" w:rsidP="00314E2F">
      <w:pPr>
        <w:spacing w:line="360" w:lineRule="auto"/>
        <w:jc w:val="both"/>
        <w:rPr>
          <w:sz w:val="20"/>
          <w:szCs w:val="20"/>
        </w:rPr>
      </w:pPr>
      <w:r>
        <w:rPr>
          <w:sz w:val="20"/>
          <w:szCs w:val="20"/>
        </w:rPr>
        <w:t xml:space="preserve">En congruencia con lo anterior, las políticas presupuestarias y de gasto del Estado, para el próximo ejercicio fiscal, son de prudencia, austeridad y estricta racionalidad en el ejercicio del gasto, focalizándose a </w:t>
      </w:r>
      <w:r w:rsidRPr="00314E2F">
        <w:rPr>
          <w:sz w:val="20"/>
          <w:szCs w:val="20"/>
        </w:rPr>
        <w:t xml:space="preserve">los programas y proyectos prioritarios de mayor impacto social. </w:t>
      </w:r>
    </w:p>
    <w:p w14:paraId="59A6E65C" w14:textId="77777777" w:rsidR="00314E2F" w:rsidRPr="00314E2F" w:rsidRDefault="00314E2F" w:rsidP="00314E2F">
      <w:pPr>
        <w:spacing w:line="360" w:lineRule="auto"/>
        <w:jc w:val="both"/>
        <w:rPr>
          <w:sz w:val="20"/>
          <w:szCs w:val="20"/>
        </w:rPr>
      </w:pPr>
    </w:p>
    <w:p w14:paraId="72E02EDC" w14:textId="77777777" w:rsidR="00314E2F" w:rsidRPr="00314E2F" w:rsidRDefault="00314E2F" w:rsidP="00314E2F">
      <w:pPr>
        <w:spacing w:line="360" w:lineRule="auto"/>
        <w:jc w:val="both"/>
        <w:rPr>
          <w:sz w:val="20"/>
          <w:szCs w:val="20"/>
        </w:rPr>
      </w:pPr>
      <w:r w:rsidRPr="00314E2F">
        <w:rPr>
          <w:sz w:val="20"/>
          <w:szCs w:val="20"/>
        </w:rPr>
        <w:t>Este Proyecto de Decreto de Presupuesto de Egresos del Estado de Tlaxcala para el Ejercicio Fiscal 2025, está fundamentado en los Criterios Generales siguientes:</w:t>
      </w:r>
    </w:p>
    <w:p w14:paraId="1D72AD27" w14:textId="77777777" w:rsidR="00314E2F" w:rsidRPr="00314E2F" w:rsidRDefault="00314E2F" w:rsidP="00314E2F">
      <w:pPr>
        <w:spacing w:line="360" w:lineRule="auto"/>
        <w:jc w:val="both"/>
        <w:rPr>
          <w:sz w:val="20"/>
          <w:szCs w:val="20"/>
        </w:rPr>
      </w:pPr>
    </w:p>
    <w:p w14:paraId="53697521" w14:textId="6627877A" w:rsidR="00314E2F" w:rsidRPr="00314E2F" w:rsidRDefault="00314E2F" w:rsidP="00314E2F">
      <w:pPr>
        <w:pStyle w:val="Prrafodelista"/>
        <w:numPr>
          <w:ilvl w:val="0"/>
          <w:numId w:val="11"/>
        </w:numPr>
        <w:spacing w:before="240" w:line="360" w:lineRule="auto"/>
        <w:jc w:val="both"/>
        <w:rPr>
          <w:sz w:val="20"/>
          <w:szCs w:val="20"/>
        </w:rPr>
      </w:pPr>
      <w:r w:rsidRPr="00314E2F">
        <w:rPr>
          <w:sz w:val="20"/>
          <w:szCs w:val="20"/>
        </w:rPr>
        <w:t xml:space="preserve">Considera las expectativas y proyecciones económicas establecidas en los </w:t>
      </w:r>
      <w:r w:rsidR="00ED1AB0" w:rsidRPr="00ED1AB0">
        <w:rPr>
          <w:sz w:val="20"/>
          <w:szCs w:val="20"/>
        </w:rPr>
        <w:t>Pre-Criterios Generales de Política Económica (Pre-</w:t>
      </w:r>
      <w:proofErr w:type="spellStart"/>
      <w:r w:rsidR="00ED1AB0" w:rsidRPr="00ED1AB0">
        <w:rPr>
          <w:sz w:val="20"/>
          <w:szCs w:val="20"/>
        </w:rPr>
        <w:t>CGPE</w:t>
      </w:r>
      <w:proofErr w:type="spellEnd"/>
      <w:r w:rsidR="00ED1AB0" w:rsidRPr="00ED1AB0">
        <w:rPr>
          <w:sz w:val="20"/>
          <w:szCs w:val="20"/>
        </w:rPr>
        <w:t>)</w:t>
      </w:r>
      <w:r w:rsidRPr="00314E2F">
        <w:rPr>
          <w:rFonts w:eastAsia="Calibri"/>
          <w:color w:val="000000" w:themeColor="text1"/>
          <w:sz w:val="20"/>
          <w:szCs w:val="20"/>
        </w:rPr>
        <w:t xml:space="preserve"> 2025, en esta ocasión no se utilizan la Iniciativa de Ley de Ingresos, el Proyecto de Presupuesto de Egresos de la Federación correspondientes al Ejercicio Fiscal 2025 </w:t>
      </w:r>
      <w:r w:rsidRPr="00314E2F">
        <w:rPr>
          <w:sz w:val="20"/>
          <w:szCs w:val="20"/>
        </w:rPr>
        <w:t>y los Criterios Generales de Política Económica</w:t>
      </w:r>
      <w:r w:rsidRPr="00314E2F">
        <w:rPr>
          <w:spacing w:val="-21"/>
          <w:sz w:val="20"/>
          <w:szCs w:val="20"/>
        </w:rPr>
        <w:t xml:space="preserve"> </w:t>
      </w:r>
      <w:r w:rsidRPr="00314E2F">
        <w:rPr>
          <w:sz w:val="20"/>
          <w:szCs w:val="20"/>
        </w:rPr>
        <w:t>2025, ya que cuando inicie su encargo el Ejecutivo Federal hará llegar a la Cámara la iniciativa de Ley de Ingresos y el proyecto de Presupuesto de Egresos de la Federación a más tardar el día 15 del mes de noviembre (CPEUM, Artículo 74, Fracción IV).</w:t>
      </w:r>
    </w:p>
    <w:p w14:paraId="0FBF432A" w14:textId="77777777" w:rsidR="00314E2F" w:rsidRPr="00314E2F" w:rsidRDefault="00314E2F" w:rsidP="00314E2F">
      <w:pPr>
        <w:pStyle w:val="Prrafodelista"/>
        <w:numPr>
          <w:ilvl w:val="0"/>
          <w:numId w:val="11"/>
        </w:numPr>
        <w:spacing w:before="240" w:line="360" w:lineRule="auto"/>
        <w:jc w:val="both"/>
        <w:rPr>
          <w:sz w:val="20"/>
          <w:szCs w:val="20"/>
        </w:rPr>
      </w:pPr>
      <w:r w:rsidRPr="00314E2F">
        <w:rPr>
          <w:sz w:val="20"/>
          <w:szCs w:val="20"/>
        </w:rPr>
        <w:t>Congruencia</w:t>
      </w:r>
      <w:r w:rsidRPr="00314E2F">
        <w:rPr>
          <w:spacing w:val="-3"/>
          <w:sz w:val="20"/>
          <w:szCs w:val="20"/>
        </w:rPr>
        <w:t xml:space="preserve"> </w:t>
      </w:r>
      <w:r w:rsidRPr="00314E2F">
        <w:rPr>
          <w:sz w:val="20"/>
          <w:szCs w:val="20"/>
        </w:rPr>
        <w:t>con</w:t>
      </w:r>
      <w:r w:rsidRPr="00314E2F">
        <w:rPr>
          <w:spacing w:val="-3"/>
          <w:sz w:val="20"/>
          <w:szCs w:val="20"/>
        </w:rPr>
        <w:t xml:space="preserve"> </w:t>
      </w:r>
      <w:r w:rsidRPr="00314E2F">
        <w:rPr>
          <w:sz w:val="20"/>
          <w:szCs w:val="20"/>
        </w:rPr>
        <w:t>los</w:t>
      </w:r>
      <w:r w:rsidRPr="00314E2F">
        <w:rPr>
          <w:spacing w:val="-3"/>
          <w:sz w:val="20"/>
          <w:szCs w:val="20"/>
        </w:rPr>
        <w:t xml:space="preserve"> </w:t>
      </w:r>
      <w:r w:rsidRPr="00314E2F">
        <w:rPr>
          <w:sz w:val="20"/>
          <w:szCs w:val="20"/>
        </w:rPr>
        <w:t>criterios</w:t>
      </w:r>
      <w:r w:rsidRPr="00314E2F">
        <w:rPr>
          <w:spacing w:val="-3"/>
          <w:sz w:val="20"/>
          <w:szCs w:val="20"/>
        </w:rPr>
        <w:t xml:space="preserve"> </w:t>
      </w:r>
      <w:r w:rsidRPr="00314E2F">
        <w:rPr>
          <w:sz w:val="20"/>
          <w:szCs w:val="20"/>
        </w:rPr>
        <w:t>económicos</w:t>
      </w:r>
      <w:r w:rsidRPr="00314E2F">
        <w:rPr>
          <w:spacing w:val="-3"/>
          <w:sz w:val="20"/>
          <w:szCs w:val="20"/>
        </w:rPr>
        <w:t xml:space="preserve"> </w:t>
      </w:r>
      <w:r w:rsidRPr="00314E2F">
        <w:rPr>
          <w:sz w:val="20"/>
          <w:szCs w:val="20"/>
        </w:rPr>
        <w:t>planteados</w:t>
      </w:r>
      <w:r w:rsidRPr="00314E2F">
        <w:rPr>
          <w:spacing w:val="-3"/>
          <w:sz w:val="20"/>
          <w:szCs w:val="20"/>
        </w:rPr>
        <w:t xml:space="preserve"> </w:t>
      </w:r>
      <w:r w:rsidRPr="00314E2F">
        <w:rPr>
          <w:sz w:val="20"/>
          <w:szCs w:val="20"/>
        </w:rPr>
        <w:t>en</w:t>
      </w:r>
      <w:r w:rsidRPr="00314E2F">
        <w:rPr>
          <w:spacing w:val="-3"/>
          <w:sz w:val="20"/>
          <w:szCs w:val="20"/>
        </w:rPr>
        <w:t xml:space="preserve"> </w:t>
      </w:r>
      <w:r w:rsidRPr="00314E2F">
        <w:rPr>
          <w:sz w:val="20"/>
          <w:szCs w:val="20"/>
        </w:rPr>
        <w:t>la</w:t>
      </w:r>
      <w:r w:rsidRPr="00314E2F">
        <w:rPr>
          <w:spacing w:val="-3"/>
          <w:sz w:val="20"/>
          <w:szCs w:val="20"/>
        </w:rPr>
        <w:t xml:space="preserve"> </w:t>
      </w:r>
      <w:r w:rsidRPr="00314E2F">
        <w:rPr>
          <w:sz w:val="20"/>
          <w:szCs w:val="20"/>
        </w:rPr>
        <w:t>Iniciativa</w:t>
      </w:r>
      <w:r w:rsidRPr="00314E2F">
        <w:rPr>
          <w:spacing w:val="-3"/>
          <w:sz w:val="20"/>
          <w:szCs w:val="20"/>
        </w:rPr>
        <w:t xml:space="preserve"> </w:t>
      </w:r>
      <w:r w:rsidRPr="00314E2F">
        <w:rPr>
          <w:sz w:val="20"/>
          <w:szCs w:val="20"/>
        </w:rPr>
        <w:t>de</w:t>
      </w:r>
      <w:r w:rsidRPr="00314E2F">
        <w:rPr>
          <w:spacing w:val="-3"/>
          <w:sz w:val="20"/>
          <w:szCs w:val="20"/>
        </w:rPr>
        <w:t xml:space="preserve"> </w:t>
      </w:r>
      <w:r w:rsidRPr="00314E2F">
        <w:rPr>
          <w:sz w:val="20"/>
          <w:szCs w:val="20"/>
        </w:rPr>
        <w:t>Ley</w:t>
      </w:r>
      <w:r w:rsidRPr="00314E2F">
        <w:rPr>
          <w:spacing w:val="-6"/>
          <w:sz w:val="20"/>
          <w:szCs w:val="20"/>
        </w:rPr>
        <w:t xml:space="preserve"> </w:t>
      </w:r>
      <w:r w:rsidRPr="00314E2F">
        <w:rPr>
          <w:sz w:val="20"/>
          <w:szCs w:val="20"/>
        </w:rPr>
        <w:t>de</w:t>
      </w:r>
      <w:r w:rsidRPr="00314E2F">
        <w:rPr>
          <w:spacing w:val="-3"/>
          <w:sz w:val="20"/>
          <w:szCs w:val="20"/>
        </w:rPr>
        <w:t xml:space="preserve"> </w:t>
      </w:r>
      <w:r w:rsidRPr="00314E2F">
        <w:rPr>
          <w:sz w:val="20"/>
          <w:szCs w:val="20"/>
        </w:rPr>
        <w:t>Ingresos</w:t>
      </w:r>
      <w:r w:rsidRPr="00314E2F">
        <w:rPr>
          <w:spacing w:val="-3"/>
          <w:sz w:val="20"/>
          <w:szCs w:val="20"/>
        </w:rPr>
        <w:t xml:space="preserve"> </w:t>
      </w:r>
      <w:r w:rsidRPr="00314E2F">
        <w:rPr>
          <w:sz w:val="20"/>
          <w:szCs w:val="20"/>
        </w:rPr>
        <w:t>del</w:t>
      </w:r>
      <w:r w:rsidRPr="00314E2F">
        <w:rPr>
          <w:spacing w:val="-3"/>
          <w:sz w:val="20"/>
          <w:szCs w:val="20"/>
        </w:rPr>
        <w:t xml:space="preserve"> </w:t>
      </w:r>
      <w:r w:rsidRPr="00314E2F">
        <w:rPr>
          <w:sz w:val="20"/>
          <w:szCs w:val="20"/>
        </w:rPr>
        <w:t>Estado</w:t>
      </w:r>
      <w:r w:rsidRPr="00314E2F">
        <w:rPr>
          <w:spacing w:val="-2"/>
          <w:sz w:val="20"/>
          <w:szCs w:val="20"/>
        </w:rPr>
        <w:t xml:space="preserve"> </w:t>
      </w:r>
      <w:r w:rsidRPr="00314E2F">
        <w:rPr>
          <w:sz w:val="20"/>
          <w:szCs w:val="20"/>
        </w:rPr>
        <w:t>de</w:t>
      </w:r>
      <w:r w:rsidRPr="00314E2F">
        <w:rPr>
          <w:spacing w:val="-6"/>
          <w:sz w:val="20"/>
          <w:szCs w:val="20"/>
        </w:rPr>
        <w:t xml:space="preserve"> </w:t>
      </w:r>
      <w:r w:rsidRPr="00314E2F">
        <w:rPr>
          <w:sz w:val="20"/>
          <w:szCs w:val="20"/>
        </w:rPr>
        <w:t>Tlaxcala para el Ejercicio Fiscal 2025; para garantizar la viabilidad, equilibrio y sustentabilidad financiera del gasto público.</w:t>
      </w:r>
    </w:p>
    <w:p w14:paraId="3780635F" w14:textId="77777777" w:rsidR="00314E2F" w:rsidRPr="00314E2F" w:rsidRDefault="00314E2F" w:rsidP="00314E2F">
      <w:pPr>
        <w:pStyle w:val="Prrafodelista"/>
        <w:numPr>
          <w:ilvl w:val="0"/>
          <w:numId w:val="11"/>
        </w:numPr>
        <w:spacing w:before="240" w:line="360" w:lineRule="auto"/>
        <w:jc w:val="both"/>
        <w:rPr>
          <w:sz w:val="20"/>
          <w:szCs w:val="20"/>
        </w:rPr>
      </w:pPr>
      <w:r w:rsidRPr="00314E2F">
        <w:rPr>
          <w:sz w:val="20"/>
          <w:szCs w:val="20"/>
        </w:rPr>
        <w:lastRenderedPageBreak/>
        <w:t>Prevé la racionalización del gasto público mediante la simplificación administrativa, con el objeto de reorientar los ahorros para proyectos estratégicos prioritarios en los ejes básicos del Plan Estatal de Desarrollo como lo son: Estado de derecho y seguridad, Bienestar para todos, Desarrollo económico y medio ambiente, Gobierno cercano con visión extendida; así como para los ejes transversales: Género e igualdad y Desarrollo regional.</w:t>
      </w:r>
    </w:p>
    <w:p w14:paraId="5371076E" w14:textId="77777777" w:rsidR="00314E2F" w:rsidRPr="00314E2F" w:rsidRDefault="00314E2F" w:rsidP="00314E2F">
      <w:pPr>
        <w:pStyle w:val="Prrafodelista"/>
        <w:numPr>
          <w:ilvl w:val="0"/>
          <w:numId w:val="11"/>
        </w:numPr>
        <w:spacing w:before="240" w:line="360" w:lineRule="auto"/>
        <w:jc w:val="both"/>
        <w:rPr>
          <w:sz w:val="20"/>
          <w:szCs w:val="20"/>
        </w:rPr>
      </w:pPr>
      <w:r w:rsidRPr="00314E2F">
        <w:rPr>
          <w:sz w:val="20"/>
          <w:szCs w:val="20"/>
        </w:rPr>
        <w:t>Se</w:t>
      </w:r>
      <w:r w:rsidRPr="00314E2F">
        <w:rPr>
          <w:spacing w:val="-13"/>
          <w:sz w:val="20"/>
          <w:szCs w:val="20"/>
        </w:rPr>
        <w:t xml:space="preserve"> </w:t>
      </w:r>
      <w:r w:rsidRPr="00314E2F">
        <w:rPr>
          <w:sz w:val="20"/>
          <w:szCs w:val="20"/>
        </w:rPr>
        <w:t>priorizan</w:t>
      </w:r>
      <w:r w:rsidRPr="00314E2F">
        <w:rPr>
          <w:spacing w:val="-13"/>
          <w:sz w:val="20"/>
          <w:szCs w:val="20"/>
        </w:rPr>
        <w:t xml:space="preserve"> </w:t>
      </w:r>
      <w:r w:rsidRPr="00314E2F">
        <w:rPr>
          <w:sz w:val="20"/>
          <w:szCs w:val="20"/>
        </w:rPr>
        <w:t>proyectos</w:t>
      </w:r>
      <w:r w:rsidRPr="00314E2F">
        <w:rPr>
          <w:spacing w:val="-11"/>
          <w:sz w:val="20"/>
          <w:szCs w:val="20"/>
        </w:rPr>
        <w:t xml:space="preserve"> </w:t>
      </w:r>
      <w:r w:rsidRPr="00314E2F">
        <w:rPr>
          <w:sz w:val="20"/>
          <w:szCs w:val="20"/>
        </w:rPr>
        <w:t>y</w:t>
      </w:r>
      <w:r w:rsidRPr="00314E2F">
        <w:rPr>
          <w:spacing w:val="-16"/>
          <w:sz w:val="20"/>
          <w:szCs w:val="20"/>
        </w:rPr>
        <w:t xml:space="preserve"> </w:t>
      </w:r>
      <w:r w:rsidRPr="00314E2F">
        <w:rPr>
          <w:sz w:val="20"/>
          <w:szCs w:val="20"/>
        </w:rPr>
        <w:t>programas</w:t>
      </w:r>
      <w:r w:rsidRPr="00314E2F">
        <w:rPr>
          <w:spacing w:val="-13"/>
          <w:sz w:val="20"/>
          <w:szCs w:val="20"/>
        </w:rPr>
        <w:t xml:space="preserve"> </w:t>
      </w:r>
      <w:r w:rsidRPr="00314E2F">
        <w:rPr>
          <w:sz w:val="20"/>
          <w:szCs w:val="20"/>
        </w:rPr>
        <w:t>de</w:t>
      </w:r>
      <w:r w:rsidRPr="00314E2F">
        <w:rPr>
          <w:spacing w:val="-12"/>
          <w:sz w:val="20"/>
          <w:szCs w:val="20"/>
        </w:rPr>
        <w:t xml:space="preserve"> </w:t>
      </w:r>
      <w:r w:rsidRPr="00314E2F">
        <w:rPr>
          <w:sz w:val="20"/>
          <w:szCs w:val="20"/>
        </w:rPr>
        <w:t xml:space="preserve">Educación, </w:t>
      </w:r>
      <w:proofErr w:type="gramStart"/>
      <w:r w:rsidRPr="00314E2F">
        <w:rPr>
          <w:sz w:val="20"/>
          <w:szCs w:val="20"/>
        </w:rPr>
        <w:t>Salud,</w:t>
      </w:r>
      <w:r w:rsidRPr="00314E2F">
        <w:rPr>
          <w:spacing w:val="-12"/>
          <w:sz w:val="20"/>
          <w:szCs w:val="20"/>
        </w:rPr>
        <w:t xml:space="preserve"> </w:t>
      </w:r>
      <w:r w:rsidRPr="00314E2F">
        <w:rPr>
          <w:spacing w:val="-11"/>
          <w:sz w:val="20"/>
          <w:szCs w:val="20"/>
        </w:rPr>
        <w:t xml:space="preserve"> </w:t>
      </w:r>
      <w:r w:rsidRPr="00314E2F">
        <w:rPr>
          <w:sz w:val="20"/>
          <w:szCs w:val="20"/>
        </w:rPr>
        <w:t>Gasto</w:t>
      </w:r>
      <w:proofErr w:type="gramEnd"/>
      <w:r w:rsidRPr="00314E2F">
        <w:rPr>
          <w:sz w:val="20"/>
          <w:szCs w:val="20"/>
        </w:rPr>
        <w:t xml:space="preserve"> Social, Gobierno y Seguridad</w:t>
      </w:r>
      <w:r w:rsidRPr="00314E2F">
        <w:rPr>
          <w:spacing w:val="-12"/>
          <w:sz w:val="20"/>
          <w:szCs w:val="20"/>
        </w:rPr>
        <w:t xml:space="preserve"> </w:t>
      </w:r>
      <w:r w:rsidRPr="00314E2F">
        <w:rPr>
          <w:sz w:val="20"/>
          <w:szCs w:val="20"/>
        </w:rPr>
        <w:t>Economía y Turismo, Medio Ambiente, así como</w:t>
      </w:r>
      <w:r w:rsidRPr="00314E2F">
        <w:rPr>
          <w:spacing w:val="-12"/>
          <w:sz w:val="20"/>
          <w:szCs w:val="20"/>
        </w:rPr>
        <w:t xml:space="preserve"> </w:t>
      </w:r>
      <w:r w:rsidRPr="00314E2F">
        <w:rPr>
          <w:sz w:val="20"/>
          <w:szCs w:val="20"/>
        </w:rPr>
        <w:t>apoyo</w:t>
      </w:r>
      <w:r w:rsidRPr="00314E2F">
        <w:rPr>
          <w:spacing w:val="-12"/>
          <w:sz w:val="20"/>
          <w:szCs w:val="20"/>
        </w:rPr>
        <w:t xml:space="preserve"> </w:t>
      </w:r>
      <w:r w:rsidRPr="00314E2F">
        <w:rPr>
          <w:sz w:val="20"/>
          <w:szCs w:val="20"/>
        </w:rPr>
        <w:t>a</w:t>
      </w:r>
      <w:r w:rsidRPr="00314E2F">
        <w:rPr>
          <w:spacing w:val="-12"/>
          <w:sz w:val="20"/>
          <w:szCs w:val="20"/>
        </w:rPr>
        <w:t xml:space="preserve"> </w:t>
      </w:r>
      <w:r w:rsidRPr="00314E2F">
        <w:rPr>
          <w:sz w:val="20"/>
          <w:szCs w:val="20"/>
        </w:rPr>
        <w:t>jóvenes y mujeres, grupos vulnerables, apoyo al campo e impulso de la infraestructura social y productiva, de igual forma de seguridad pública y para la Fiscalía General de Justicia, recursos para mejorar los niveles de bienestar social y propiciar la generación de</w:t>
      </w:r>
      <w:r w:rsidRPr="00314E2F">
        <w:rPr>
          <w:spacing w:val="-8"/>
          <w:sz w:val="20"/>
          <w:szCs w:val="20"/>
        </w:rPr>
        <w:t xml:space="preserve"> </w:t>
      </w:r>
      <w:r w:rsidRPr="00314E2F">
        <w:rPr>
          <w:sz w:val="20"/>
          <w:szCs w:val="20"/>
        </w:rPr>
        <w:t>empleos Creando una Nueva Historia.</w:t>
      </w:r>
    </w:p>
    <w:p w14:paraId="3236F196" w14:textId="77777777" w:rsidR="00314E2F" w:rsidRPr="00314E2F" w:rsidRDefault="00314E2F" w:rsidP="00314E2F">
      <w:pPr>
        <w:pStyle w:val="Prrafodelista"/>
        <w:numPr>
          <w:ilvl w:val="0"/>
          <w:numId w:val="11"/>
        </w:numPr>
        <w:spacing w:before="240" w:line="360" w:lineRule="auto"/>
        <w:jc w:val="both"/>
        <w:rPr>
          <w:sz w:val="20"/>
          <w:szCs w:val="20"/>
        </w:rPr>
      </w:pPr>
      <w:r w:rsidRPr="00314E2F">
        <w:rPr>
          <w:sz w:val="20"/>
          <w:szCs w:val="20"/>
        </w:rPr>
        <w:t>Garantizar</w:t>
      </w:r>
      <w:r w:rsidRPr="00314E2F">
        <w:rPr>
          <w:spacing w:val="-2"/>
          <w:sz w:val="20"/>
          <w:szCs w:val="20"/>
        </w:rPr>
        <w:t xml:space="preserve"> </w:t>
      </w:r>
      <w:r w:rsidRPr="00314E2F">
        <w:rPr>
          <w:sz w:val="20"/>
          <w:szCs w:val="20"/>
        </w:rPr>
        <w:t>y</w:t>
      </w:r>
      <w:r w:rsidRPr="00314E2F">
        <w:rPr>
          <w:spacing w:val="-8"/>
          <w:sz w:val="20"/>
          <w:szCs w:val="20"/>
        </w:rPr>
        <w:t xml:space="preserve"> </w:t>
      </w:r>
      <w:r w:rsidRPr="00314E2F">
        <w:rPr>
          <w:sz w:val="20"/>
          <w:szCs w:val="20"/>
        </w:rPr>
        <w:t>priorizar</w:t>
      </w:r>
      <w:r w:rsidRPr="00314E2F">
        <w:rPr>
          <w:spacing w:val="-4"/>
          <w:sz w:val="20"/>
          <w:szCs w:val="20"/>
        </w:rPr>
        <w:t xml:space="preserve"> </w:t>
      </w:r>
      <w:r w:rsidRPr="00314E2F">
        <w:rPr>
          <w:sz w:val="20"/>
          <w:szCs w:val="20"/>
        </w:rPr>
        <w:t>la</w:t>
      </w:r>
      <w:r w:rsidRPr="00314E2F">
        <w:rPr>
          <w:spacing w:val="-7"/>
          <w:sz w:val="20"/>
          <w:szCs w:val="20"/>
        </w:rPr>
        <w:t xml:space="preserve"> </w:t>
      </w:r>
      <w:r w:rsidRPr="00314E2F">
        <w:rPr>
          <w:sz w:val="20"/>
          <w:szCs w:val="20"/>
        </w:rPr>
        <w:t>asignación</w:t>
      </w:r>
      <w:r w:rsidRPr="00314E2F">
        <w:rPr>
          <w:spacing w:val="-7"/>
          <w:sz w:val="20"/>
          <w:szCs w:val="20"/>
        </w:rPr>
        <w:t xml:space="preserve"> </w:t>
      </w:r>
      <w:r w:rsidRPr="00314E2F">
        <w:rPr>
          <w:sz w:val="20"/>
          <w:szCs w:val="20"/>
        </w:rPr>
        <w:t>de</w:t>
      </w:r>
      <w:r w:rsidRPr="00314E2F">
        <w:rPr>
          <w:spacing w:val="-5"/>
          <w:sz w:val="20"/>
          <w:szCs w:val="20"/>
        </w:rPr>
        <w:t xml:space="preserve"> </w:t>
      </w:r>
      <w:r w:rsidRPr="00314E2F">
        <w:rPr>
          <w:sz w:val="20"/>
          <w:szCs w:val="20"/>
        </w:rPr>
        <w:t>los</w:t>
      </w:r>
      <w:r w:rsidRPr="00314E2F">
        <w:rPr>
          <w:spacing w:val="-6"/>
          <w:sz w:val="20"/>
          <w:szCs w:val="20"/>
        </w:rPr>
        <w:t xml:space="preserve"> </w:t>
      </w:r>
      <w:r w:rsidRPr="00314E2F">
        <w:rPr>
          <w:sz w:val="20"/>
          <w:szCs w:val="20"/>
        </w:rPr>
        <w:t>recursos</w:t>
      </w:r>
      <w:r w:rsidRPr="00314E2F">
        <w:rPr>
          <w:spacing w:val="-6"/>
          <w:sz w:val="20"/>
          <w:szCs w:val="20"/>
        </w:rPr>
        <w:t xml:space="preserve"> </w:t>
      </w:r>
      <w:r w:rsidRPr="00314E2F">
        <w:rPr>
          <w:sz w:val="20"/>
          <w:szCs w:val="20"/>
        </w:rPr>
        <w:t>a</w:t>
      </w:r>
      <w:r w:rsidRPr="00314E2F">
        <w:rPr>
          <w:spacing w:val="-5"/>
          <w:sz w:val="20"/>
          <w:szCs w:val="20"/>
        </w:rPr>
        <w:t xml:space="preserve"> </w:t>
      </w:r>
      <w:r w:rsidRPr="00314E2F">
        <w:rPr>
          <w:sz w:val="20"/>
          <w:szCs w:val="20"/>
        </w:rPr>
        <w:t>los</w:t>
      </w:r>
      <w:r w:rsidRPr="00314E2F">
        <w:rPr>
          <w:spacing w:val="-7"/>
          <w:sz w:val="20"/>
          <w:szCs w:val="20"/>
        </w:rPr>
        <w:t xml:space="preserve"> </w:t>
      </w:r>
      <w:r w:rsidRPr="00314E2F">
        <w:rPr>
          <w:sz w:val="20"/>
          <w:szCs w:val="20"/>
        </w:rPr>
        <w:t>programas,</w:t>
      </w:r>
      <w:r w:rsidRPr="00314E2F">
        <w:rPr>
          <w:spacing w:val="-5"/>
          <w:sz w:val="20"/>
          <w:szCs w:val="20"/>
        </w:rPr>
        <w:t xml:space="preserve"> </w:t>
      </w:r>
      <w:r w:rsidRPr="00314E2F">
        <w:rPr>
          <w:sz w:val="20"/>
          <w:szCs w:val="20"/>
        </w:rPr>
        <w:t>obras</w:t>
      </w:r>
      <w:r w:rsidRPr="00314E2F">
        <w:rPr>
          <w:spacing w:val="-6"/>
          <w:sz w:val="20"/>
          <w:szCs w:val="20"/>
        </w:rPr>
        <w:t xml:space="preserve"> </w:t>
      </w:r>
      <w:r w:rsidRPr="00314E2F">
        <w:rPr>
          <w:sz w:val="20"/>
          <w:szCs w:val="20"/>
        </w:rPr>
        <w:t>y</w:t>
      </w:r>
      <w:r w:rsidRPr="00314E2F">
        <w:rPr>
          <w:spacing w:val="-8"/>
          <w:sz w:val="20"/>
          <w:szCs w:val="20"/>
        </w:rPr>
        <w:t xml:space="preserve"> </w:t>
      </w:r>
      <w:r w:rsidRPr="00314E2F">
        <w:rPr>
          <w:sz w:val="20"/>
          <w:szCs w:val="20"/>
        </w:rPr>
        <w:t>acciones</w:t>
      </w:r>
      <w:r w:rsidRPr="00314E2F">
        <w:rPr>
          <w:spacing w:val="-6"/>
          <w:sz w:val="20"/>
          <w:szCs w:val="20"/>
        </w:rPr>
        <w:t xml:space="preserve"> </w:t>
      </w:r>
      <w:r w:rsidRPr="00314E2F">
        <w:rPr>
          <w:sz w:val="20"/>
          <w:szCs w:val="20"/>
        </w:rPr>
        <w:t>de</w:t>
      </w:r>
      <w:r w:rsidRPr="00314E2F">
        <w:rPr>
          <w:spacing w:val="-5"/>
          <w:sz w:val="20"/>
          <w:szCs w:val="20"/>
        </w:rPr>
        <w:t xml:space="preserve"> </w:t>
      </w:r>
      <w:r w:rsidRPr="00314E2F">
        <w:rPr>
          <w:sz w:val="20"/>
          <w:szCs w:val="20"/>
        </w:rPr>
        <w:t>alto</w:t>
      </w:r>
      <w:r w:rsidRPr="00314E2F">
        <w:rPr>
          <w:spacing w:val="-4"/>
          <w:sz w:val="20"/>
          <w:szCs w:val="20"/>
        </w:rPr>
        <w:t xml:space="preserve"> </w:t>
      </w:r>
      <w:r w:rsidRPr="00314E2F">
        <w:rPr>
          <w:sz w:val="20"/>
          <w:szCs w:val="20"/>
        </w:rPr>
        <w:t>impacto</w:t>
      </w:r>
      <w:r w:rsidRPr="00314E2F">
        <w:rPr>
          <w:spacing w:val="-2"/>
          <w:sz w:val="20"/>
          <w:szCs w:val="20"/>
        </w:rPr>
        <w:t xml:space="preserve"> </w:t>
      </w:r>
      <w:r w:rsidRPr="00314E2F">
        <w:rPr>
          <w:sz w:val="20"/>
          <w:szCs w:val="20"/>
        </w:rPr>
        <w:t>y</w:t>
      </w:r>
      <w:r w:rsidRPr="00314E2F">
        <w:rPr>
          <w:spacing w:val="-8"/>
          <w:sz w:val="20"/>
          <w:szCs w:val="20"/>
        </w:rPr>
        <w:t xml:space="preserve"> </w:t>
      </w:r>
      <w:r w:rsidRPr="00314E2F">
        <w:rPr>
          <w:sz w:val="20"/>
          <w:szCs w:val="20"/>
        </w:rPr>
        <w:t>beneficio social, que incidan en el desarrollo económico y social, para elevar el nivel de vida de la</w:t>
      </w:r>
      <w:r w:rsidRPr="00314E2F">
        <w:rPr>
          <w:spacing w:val="-15"/>
          <w:sz w:val="20"/>
          <w:szCs w:val="20"/>
        </w:rPr>
        <w:t xml:space="preserve"> </w:t>
      </w:r>
      <w:r w:rsidRPr="00314E2F">
        <w:rPr>
          <w:sz w:val="20"/>
          <w:szCs w:val="20"/>
        </w:rPr>
        <w:t>población Tlaxcalteca.</w:t>
      </w:r>
    </w:p>
    <w:p w14:paraId="00DECD2E" w14:textId="77777777" w:rsidR="00314E2F" w:rsidRPr="00314E2F" w:rsidRDefault="00314E2F" w:rsidP="00314E2F">
      <w:pPr>
        <w:pStyle w:val="Prrafodelista"/>
        <w:numPr>
          <w:ilvl w:val="0"/>
          <w:numId w:val="11"/>
        </w:numPr>
        <w:spacing w:before="240" w:line="360" w:lineRule="auto"/>
        <w:jc w:val="both"/>
        <w:rPr>
          <w:sz w:val="20"/>
          <w:szCs w:val="20"/>
        </w:rPr>
      </w:pPr>
      <w:r w:rsidRPr="00314E2F">
        <w:rPr>
          <w:sz w:val="20"/>
          <w:szCs w:val="20"/>
        </w:rPr>
        <w:t>Dar acceso a la población a sus derechos sociales y reducir la</w:t>
      </w:r>
      <w:r w:rsidRPr="00314E2F">
        <w:rPr>
          <w:spacing w:val="-18"/>
          <w:sz w:val="20"/>
          <w:szCs w:val="20"/>
        </w:rPr>
        <w:t xml:space="preserve"> </w:t>
      </w:r>
      <w:r w:rsidRPr="00314E2F">
        <w:rPr>
          <w:sz w:val="20"/>
          <w:szCs w:val="20"/>
        </w:rPr>
        <w:t>pobreza.</w:t>
      </w:r>
    </w:p>
    <w:p w14:paraId="7E720E56" w14:textId="77777777" w:rsidR="00314E2F" w:rsidRPr="00314E2F" w:rsidRDefault="00314E2F" w:rsidP="00314E2F">
      <w:pPr>
        <w:pStyle w:val="Prrafodelista"/>
        <w:numPr>
          <w:ilvl w:val="0"/>
          <w:numId w:val="11"/>
        </w:numPr>
        <w:spacing w:before="240" w:line="360" w:lineRule="auto"/>
        <w:jc w:val="both"/>
        <w:rPr>
          <w:sz w:val="20"/>
          <w:szCs w:val="20"/>
        </w:rPr>
      </w:pPr>
      <w:r w:rsidRPr="00314E2F">
        <w:rPr>
          <w:sz w:val="20"/>
          <w:szCs w:val="20"/>
        </w:rPr>
        <w:t xml:space="preserve">Garantizar un acceso libre y pleno con las mujeres tlaxcaltecas con la creación de la Secretaría de las Mujeres, mediante acciones como: Dignificación y reconocimiento de las mujeres Tlaxcaltecas, Empoderamiento económico para las mujeres en Tlaxcala, Atención integral de contacto para mujeres Tlaxcaltecas. </w:t>
      </w:r>
    </w:p>
    <w:p w14:paraId="789CF506" w14:textId="77777777" w:rsidR="00314E2F" w:rsidRPr="00314E2F" w:rsidRDefault="00314E2F" w:rsidP="00314E2F">
      <w:pPr>
        <w:pStyle w:val="Prrafodelista"/>
        <w:numPr>
          <w:ilvl w:val="0"/>
          <w:numId w:val="11"/>
        </w:numPr>
        <w:spacing w:before="240" w:line="360" w:lineRule="auto"/>
        <w:jc w:val="both"/>
        <w:rPr>
          <w:sz w:val="20"/>
          <w:szCs w:val="20"/>
        </w:rPr>
      </w:pPr>
      <w:r w:rsidRPr="00314E2F">
        <w:rPr>
          <w:sz w:val="20"/>
          <w:szCs w:val="20"/>
        </w:rPr>
        <w:t>Combatir la carencia alimentaria y mejorar el acceso a la salud, seguridad social, vivienda y apoyo al empleo; conforme a los programas de la Sociedad Organizada para el Bienestar, Desarrollo Comunitario y Bienestar de Pueblos Originarios, Bienestar y Desarrollo Integral y Vivienda digna para el Bienestar de la Secretaría de Bienestar.</w:t>
      </w:r>
    </w:p>
    <w:p w14:paraId="3870CF42" w14:textId="77777777" w:rsidR="00314E2F" w:rsidRPr="00314E2F" w:rsidRDefault="00314E2F" w:rsidP="00314E2F">
      <w:pPr>
        <w:pStyle w:val="Prrafodelista"/>
        <w:numPr>
          <w:ilvl w:val="0"/>
          <w:numId w:val="11"/>
        </w:numPr>
        <w:spacing w:before="240" w:line="360" w:lineRule="auto"/>
        <w:jc w:val="both"/>
        <w:rPr>
          <w:sz w:val="20"/>
          <w:szCs w:val="20"/>
        </w:rPr>
      </w:pPr>
      <w:r w:rsidRPr="00314E2F">
        <w:rPr>
          <w:sz w:val="20"/>
          <w:szCs w:val="20"/>
        </w:rPr>
        <w:t>Identificar con precisión la población objetivo, privilegiando a los de menos</w:t>
      </w:r>
      <w:r w:rsidRPr="00314E2F">
        <w:rPr>
          <w:spacing w:val="-27"/>
          <w:sz w:val="20"/>
          <w:szCs w:val="20"/>
        </w:rPr>
        <w:t xml:space="preserve"> </w:t>
      </w:r>
      <w:r w:rsidRPr="00314E2F">
        <w:rPr>
          <w:sz w:val="20"/>
          <w:szCs w:val="20"/>
        </w:rPr>
        <w:t>ingresos.</w:t>
      </w:r>
    </w:p>
    <w:p w14:paraId="5ACBD5FD" w14:textId="77777777" w:rsidR="00314E2F" w:rsidRPr="00314E2F" w:rsidRDefault="00314E2F" w:rsidP="00314E2F">
      <w:pPr>
        <w:pStyle w:val="Prrafodelista"/>
        <w:numPr>
          <w:ilvl w:val="0"/>
          <w:numId w:val="11"/>
        </w:numPr>
        <w:spacing w:before="240" w:line="360" w:lineRule="auto"/>
        <w:jc w:val="both"/>
        <w:rPr>
          <w:sz w:val="20"/>
          <w:szCs w:val="20"/>
        </w:rPr>
      </w:pPr>
      <w:r w:rsidRPr="00314E2F">
        <w:rPr>
          <w:sz w:val="20"/>
          <w:szCs w:val="20"/>
        </w:rPr>
        <w:t>Procurar</w:t>
      </w:r>
      <w:r w:rsidRPr="00314E2F">
        <w:rPr>
          <w:spacing w:val="-14"/>
          <w:sz w:val="20"/>
          <w:szCs w:val="20"/>
        </w:rPr>
        <w:t xml:space="preserve"> </w:t>
      </w:r>
      <w:r w:rsidRPr="00314E2F">
        <w:rPr>
          <w:sz w:val="20"/>
          <w:szCs w:val="20"/>
        </w:rPr>
        <w:t>que</w:t>
      </w:r>
      <w:r w:rsidRPr="00314E2F">
        <w:rPr>
          <w:spacing w:val="-13"/>
          <w:sz w:val="20"/>
          <w:szCs w:val="20"/>
        </w:rPr>
        <w:t xml:space="preserve"> </w:t>
      </w:r>
      <w:r w:rsidRPr="00314E2F">
        <w:rPr>
          <w:sz w:val="20"/>
          <w:szCs w:val="20"/>
        </w:rPr>
        <w:t>el</w:t>
      </w:r>
      <w:r w:rsidRPr="00314E2F">
        <w:rPr>
          <w:spacing w:val="-13"/>
          <w:sz w:val="20"/>
          <w:szCs w:val="20"/>
        </w:rPr>
        <w:t xml:space="preserve"> </w:t>
      </w:r>
      <w:r w:rsidRPr="00314E2F">
        <w:rPr>
          <w:sz w:val="20"/>
          <w:szCs w:val="20"/>
        </w:rPr>
        <w:t>mecanismo</w:t>
      </w:r>
      <w:r w:rsidRPr="00314E2F">
        <w:rPr>
          <w:spacing w:val="-13"/>
          <w:sz w:val="20"/>
          <w:szCs w:val="20"/>
        </w:rPr>
        <w:t xml:space="preserve"> </w:t>
      </w:r>
      <w:r w:rsidRPr="00314E2F">
        <w:rPr>
          <w:sz w:val="20"/>
          <w:szCs w:val="20"/>
        </w:rPr>
        <w:t>de</w:t>
      </w:r>
      <w:r w:rsidRPr="00314E2F">
        <w:rPr>
          <w:spacing w:val="-13"/>
          <w:sz w:val="20"/>
          <w:szCs w:val="20"/>
        </w:rPr>
        <w:t xml:space="preserve"> </w:t>
      </w:r>
      <w:r w:rsidRPr="00314E2F">
        <w:rPr>
          <w:sz w:val="20"/>
          <w:szCs w:val="20"/>
        </w:rPr>
        <w:t>distribución,</w:t>
      </w:r>
      <w:r w:rsidRPr="00314E2F">
        <w:rPr>
          <w:spacing w:val="-13"/>
          <w:sz w:val="20"/>
          <w:szCs w:val="20"/>
        </w:rPr>
        <w:t xml:space="preserve"> </w:t>
      </w:r>
      <w:r w:rsidRPr="00314E2F">
        <w:rPr>
          <w:sz w:val="20"/>
          <w:szCs w:val="20"/>
        </w:rPr>
        <w:t>operación</w:t>
      </w:r>
      <w:r w:rsidRPr="00314E2F">
        <w:rPr>
          <w:spacing w:val="-12"/>
          <w:sz w:val="20"/>
          <w:szCs w:val="20"/>
        </w:rPr>
        <w:t xml:space="preserve"> </w:t>
      </w:r>
      <w:r w:rsidRPr="00314E2F">
        <w:rPr>
          <w:sz w:val="20"/>
          <w:szCs w:val="20"/>
        </w:rPr>
        <w:t>y</w:t>
      </w:r>
      <w:r w:rsidRPr="00314E2F">
        <w:rPr>
          <w:spacing w:val="-16"/>
          <w:sz w:val="20"/>
          <w:szCs w:val="20"/>
        </w:rPr>
        <w:t xml:space="preserve"> </w:t>
      </w:r>
      <w:r w:rsidRPr="00314E2F">
        <w:rPr>
          <w:sz w:val="20"/>
          <w:szCs w:val="20"/>
        </w:rPr>
        <w:t>administración</w:t>
      </w:r>
      <w:r w:rsidRPr="00314E2F">
        <w:rPr>
          <w:spacing w:val="-14"/>
          <w:sz w:val="20"/>
          <w:szCs w:val="20"/>
        </w:rPr>
        <w:t xml:space="preserve"> </w:t>
      </w:r>
      <w:r w:rsidRPr="00314E2F">
        <w:rPr>
          <w:sz w:val="20"/>
          <w:szCs w:val="20"/>
        </w:rPr>
        <w:t>del</w:t>
      </w:r>
      <w:r w:rsidRPr="00314E2F">
        <w:rPr>
          <w:spacing w:val="-13"/>
          <w:sz w:val="20"/>
          <w:szCs w:val="20"/>
        </w:rPr>
        <w:t xml:space="preserve"> </w:t>
      </w:r>
      <w:r w:rsidRPr="00314E2F">
        <w:rPr>
          <w:sz w:val="20"/>
          <w:szCs w:val="20"/>
        </w:rPr>
        <w:t>presupuesto</w:t>
      </w:r>
      <w:r w:rsidRPr="00314E2F">
        <w:rPr>
          <w:spacing w:val="-13"/>
          <w:sz w:val="20"/>
          <w:szCs w:val="20"/>
        </w:rPr>
        <w:t xml:space="preserve"> </w:t>
      </w:r>
      <w:r w:rsidRPr="00314E2F">
        <w:rPr>
          <w:sz w:val="20"/>
          <w:szCs w:val="20"/>
        </w:rPr>
        <w:t>otorgue</w:t>
      </w:r>
      <w:r w:rsidRPr="00314E2F">
        <w:rPr>
          <w:spacing w:val="-13"/>
          <w:sz w:val="20"/>
          <w:szCs w:val="20"/>
        </w:rPr>
        <w:t xml:space="preserve"> </w:t>
      </w:r>
      <w:r w:rsidRPr="00314E2F">
        <w:rPr>
          <w:sz w:val="20"/>
          <w:szCs w:val="20"/>
        </w:rPr>
        <w:t>acceso</w:t>
      </w:r>
      <w:r w:rsidRPr="00314E2F">
        <w:rPr>
          <w:spacing w:val="-13"/>
          <w:sz w:val="20"/>
          <w:szCs w:val="20"/>
        </w:rPr>
        <w:t xml:space="preserve"> </w:t>
      </w:r>
      <w:r w:rsidRPr="00314E2F">
        <w:rPr>
          <w:sz w:val="20"/>
          <w:szCs w:val="20"/>
        </w:rPr>
        <w:t>equitativo a todos los grupos sociales, para fomentar la igualdad de</w:t>
      </w:r>
      <w:r w:rsidRPr="00314E2F">
        <w:rPr>
          <w:spacing w:val="-16"/>
          <w:sz w:val="20"/>
          <w:szCs w:val="20"/>
        </w:rPr>
        <w:t xml:space="preserve"> </w:t>
      </w:r>
      <w:r w:rsidRPr="00314E2F">
        <w:rPr>
          <w:sz w:val="20"/>
          <w:szCs w:val="20"/>
        </w:rPr>
        <w:t>género.</w:t>
      </w:r>
    </w:p>
    <w:p w14:paraId="58DD41E5" w14:textId="77777777" w:rsidR="00314E2F" w:rsidRPr="00314E2F" w:rsidRDefault="00314E2F" w:rsidP="00314E2F">
      <w:pPr>
        <w:pStyle w:val="Prrafodelista"/>
        <w:numPr>
          <w:ilvl w:val="0"/>
          <w:numId w:val="11"/>
        </w:numPr>
        <w:spacing w:before="240" w:line="360" w:lineRule="auto"/>
        <w:jc w:val="both"/>
        <w:rPr>
          <w:sz w:val="20"/>
          <w:szCs w:val="20"/>
        </w:rPr>
      </w:pPr>
      <w:r w:rsidRPr="00314E2F">
        <w:rPr>
          <w:sz w:val="20"/>
          <w:szCs w:val="20"/>
        </w:rPr>
        <w:t>Simplificar</w:t>
      </w:r>
      <w:r w:rsidRPr="00314E2F">
        <w:rPr>
          <w:spacing w:val="-4"/>
          <w:sz w:val="20"/>
          <w:szCs w:val="20"/>
        </w:rPr>
        <w:t xml:space="preserve"> </w:t>
      </w:r>
      <w:r w:rsidRPr="00314E2F">
        <w:rPr>
          <w:sz w:val="20"/>
          <w:szCs w:val="20"/>
        </w:rPr>
        <w:t>los</w:t>
      </w:r>
      <w:r w:rsidRPr="00314E2F">
        <w:rPr>
          <w:spacing w:val="-6"/>
          <w:sz w:val="20"/>
          <w:szCs w:val="20"/>
        </w:rPr>
        <w:t xml:space="preserve"> </w:t>
      </w:r>
      <w:r w:rsidRPr="00314E2F">
        <w:rPr>
          <w:sz w:val="20"/>
          <w:szCs w:val="20"/>
        </w:rPr>
        <w:t>procesos</w:t>
      </w:r>
      <w:r w:rsidRPr="00314E2F">
        <w:rPr>
          <w:spacing w:val="-6"/>
          <w:sz w:val="20"/>
          <w:szCs w:val="20"/>
        </w:rPr>
        <w:t xml:space="preserve"> </w:t>
      </w:r>
      <w:r w:rsidRPr="00314E2F">
        <w:rPr>
          <w:sz w:val="20"/>
          <w:szCs w:val="20"/>
        </w:rPr>
        <w:t>y</w:t>
      </w:r>
      <w:r w:rsidRPr="00314E2F">
        <w:rPr>
          <w:spacing w:val="-9"/>
          <w:sz w:val="20"/>
          <w:szCs w:val="20"/>
        </w:rPr>
        <w:t xml:space="preserve"> </w:t>
      </w:r>
      <w:proofErr w:type="spellStart"/>
      <w:r w:rsidRPr="00314E2F">
        <w:rPr>
          <w:sz w:val="20"/>
          <w:szCs w:val="20"/>
        </w:rPr>
        <w:t>eficientar</w:t>
      </w:r>
      <w:proofErr w:type="spellEnd"/>
      <w:r w:rsidRPr="00314E2F">
        <w:rPr>
          <w:spacing w:val="-5"/>
          <w:sz w:val="20"/>
          <w:szCs w:val="20"/>
        </w:rPr>
        <w:t xml:space="preserve"> </w:t>
      </w:r>
      <w:r w:rsidRPr="00314E2F">
        <w:rPr>
          <w:sz w:val="20"/>
          <w:szCs w:val="20"/>
        </w:rPr>
        <w:t>la</w:t>
      </w:r>
      <w:r w:rsidRPr="00314E2F">
        <w:rPr>
          <w:spacing w:val="-5"/>
          <w:sz w:val="20"/>
          <w:szCs w:val="20"/>
        </w:rPr>
        <w:t xml:space="preserve"> </w:t>
      </w:r>
      <w:r w:rsidRPr="00314E2F">
        <w:rPr>
          <w:sz w:val="20"/>
          <w:szCs w:val="20"/>
        </w:rPr>
        <w:t>prestación</w:t>
      </w:r>
      <w:r w:rsidRPr="00314E2F">
        <w:rPr>
          <w:spacing w:val="-7"/>
          <w:sz w:val="20"/>
          <w:szCs w:val="20"/>
        </w:rPr>
        <w:t xml:space="preserve"> </w:t>
      </w:r>
      <w:r w:rsidRPr="00314E2F">
        <w:rPr>
          <w:sz w:val="20"/>
          <w:szCs w:val="20"/>
        </w:rPr>
        <w:t>de</w:t>
      </w:r>
      <w:r w:rsidRPr="00314E2F">
        <w:rPr>
          <w:spacing w:val="-5"/>
          <w:sz w:val="20"/>
          <w:szCs w:val="20"/>
        </w:rPr>
        <w:t xml:space="preserve"> </w:t>
      </w:r>
      <w:r w:rsidRPr="00314E2F">
        <w:rPr>
          <w:sz w:val="20"/>
          <w:szCs w:val="20"/>
        </w:rPr>
        <w:t>servicios</w:t>
      </w:r>
      <w:r w:rsidRPr="00314E2F">
        <w:rPr>
          <w:spacing w:val="-6"/>
          <w:sz w:val="20"/>
          <w:szCs w:val="20"/>
        </w:rPr>
        <w:t xml:space="preserve"> </w:t>
      </w:r>
      <w:r w:rsidRPr="00314E2F">
        <w:rPr>
          <w:sz w:val="20"/>
          <w:szCs w:val="20"/>
        </w:rPr>
        <w:t>a</w:t>
      </w:r>
      <w:r w:rsidRPr="00314E2F">
        <w:rPr>
          <w:spacing w:val="-5"/>
          <w:sz w:val="20"/>
          <w:szCs w:val="20"/>
        </w:rPr>
        <w:t xml:space="preserve"> </w:t>
      </w:r>
      <w:r w:rsidRPr="00314E2F">
        <w:rPr>
          <w:sz w:val="20"/>
          <w:szCs w:val="20"/>
        </w:rPr>
        <w:t>la</w:t>
      </w:r>
      <w:r w:rsidRPr="00314E2F">
        <w:rPr>
          <w:spacing w:val="-5"/>
          <w:sz w:val="20"/>
          <w:szCs w:val="20"/>
        </w:rPr>
        <w:t xml:space="preserve"> </w:t>
      </w:r>
      <w:r w:rsidRPr="00314E2F">
        <w:rPr>
          <w:sz w:val="20"/>
          <w:szCs w:val="20"/>
        </w:rPr>
        <w:t>población,</w:t>
      </w:r>
      <w:r w:rsidRPr="00314E2F">
        <w:rPr>
          <w:spacing w:val="-7"/>
          <w:sz w:val="20"/>
          <w:szCs w:val="20"/>
        </w:rPr>
        <w:t xml:space="preserve"> </w:t>
      </w:r>
      <w:r w:rsidRPr="00314E2F">
        <w:rPr>
          <w:sz w:val="20"/>
          <w:szCs w:val="20"/>
        </w:rPr>
        <w:t>para</w:t>
      </w:r>
      <w:r w:rsidRPr="00314E2F">
        <w:rPr>
          <w:spacing w:val="-5"/>
          <w:sz w:val="20"/>
          <w:szCs w:val="20"/>
        </w:rPr>
        <w:t xml:space="preserve"> </w:t>
      </w:r>
      <w:r w:rsidRPr="00314E2F">
        <w:rPr>
          <w:sz w:val="20"/>
          <w:szCs w:val="20"/>
        </w:rPr>
        <w:t>garantizar</w:t>
      </w:r>
      <w:r w:rsidRPr="00314E2F">
        <w:rPr>
          <w:spacing w:val="-4"/>
          <w:sz w:val="20"/>
          <w:szCs w:val="20"/>
        </w:rPr>
        <w:t xml:space="preserve"> </w:t>
      </w:r>
      <w:r w:rsidRPr="00314E2F">
        <w:rPr>
          <w:sz w:val="20"/>
          <w:szCs w:val="20"/>
        </w:rPr>
        <w:t>un</w:t>
      </w:r>
      <w:r w:rsidRPr="00314E2F">
        <w:rPr>
          <w:spacing w:val="-7"/>
          <w:sz w:val="20"/>
          <w:szCs w:val="20"/>
        </w:rPr>
        <w:t xml:space="preserve"> </w:t>
      </w:r>
      <w:r w:rsidRPr="00314E2F">
        <w:rPr>
          <w:sz w:val="20"/>
          <w:szCs w:val="20"/>
        </w:rPr>
        <w:t>gobierno</w:t>
      </w:r>
      <w:r w:rsidRPr="00314E2F">
        <w:rPr>
          <w:spacing w:val="-4"/>
          <w:sz w:val="20"/>
          <w:szCs w:val="20"/>
        </w:rPr>
        <w:t xml:space="preserve"> </w:t>
      </w:r>
      <w:r w:rsidRPr="00314E2F">
        <w:rPr>
          <w:sz w:val="20"/>
          <w:szCs w:val="20"/>
        </w:rPr>
        <w:t xml:space="preserve">eficaz, mediante </w:t>
      </w:r>
      <w:bookmarkStart w:id="2" w:name="_Hlk180496040"/>
      <w:r w:rsidRPr="00314E2F">
        <w:rPr>
          <w:sz w:val="20"/>
          <w:szCs w:val="20"/>
        </w:rPr>
        <w:t>el Sistema Estatal de Gobernanza Digital</w:t>
      </w:r>
      <w:bookmarkEnd w:id="2"/>
      <w:r w:rsidRPr="00314E2F">
        <w:rPr>
          <w:sz w:val="20"/>
          <w:szCs w:val="20"/>
        </w:rPr>
        <w:t>.</w:t>
      </w:r>
    </w:p>
    <w:p w14:paraId="3B35D91D" w14:textId="77777777" w:rsidR="00314E2F" w:rsidRPr="00314E2F" w:rsidRDefault="00314E2F" w:rsidP="00314E2F">
      <w:pPr>
        <w:pStyle w:val="Prrafodelista"/>
        <w:numPr>
          <w:ilvl w:val="0"/>
          <w:numId w:val="11"/>
        </w:numPr>
        <w:spacing w:before="240" w:line="360" w:lineRule="auto"/>
        <w:jc w:val="both"/>
        <w:rPr>
          <w:sz w:val="20"/>
          <w:szCs w:val="20"/>
        </w:rPr>
      </w:pPr>
      <w:r w:rsidRPr="00314E2F">
        <w:rPr>
          <w:sz w:val="20"/>
          <w:szCs w:val="20"/>
        </w:rPr>
        <w:lastRenderedPageBreak/>
        <w:t>Concientizar entre los servidores públicos una cultura de austeridad, racionalidad, disciplina, transparencia, honestidad y</w:t>
      </w:r>
      <w:r w:rsidRPr="00314E2F">
        <w:rPr>
          <w:spacing w:val="-9"/>
          <w:sz w:val="20"/>
          <w:szCs w:val="20"/>
        </w:rPr>
        <w:t xml:space="preserve"> </w:t>
      </w:r>
      <w:r w:rsidRPr="00314E2F">
        <w:rPr>
          <w:sz w:val="20"/>
          <w:szCs w:val="20"/>
        </w:rPr>
        <w:t>eficacia, mediante la publicación de lineamientos y políticas generales del ejercicio del presupuesto, las medidas de mejora y modernización, así como de austeridad del gasto público de la gestión administrativa, a los que deberán sujetarse las Dependencias y Entidades.</w:t>
      </w:r>
    </w:p>
    <w:p w14:paraId="1BD70F18" w14:textId="77777777" w:rsidR="00314E2F" w:rsidRPr="00525950" w:rsidRDefault="00314E2F" w:rsidP="00314E2F">
      <w:pPr>
        <w:pStyle w:val="Prrafodelista"/>
        <w:numPr>
          <w:ilvl w:val="0"/>
          <w:numId w:val="11"/>
        </w:numPr>
        <w:spacing w:before="240" w:line="360" w:lineRule="auto"/>
        <w:jc w:val="both"/>
        <w:rPr>
          <w:sz w:val="20"/>
          <w:szCs w:val="20"/>
        </w:rPr>
      </w:pPr>
      <w:r>
        <w:rPr>
          <w:sz w:val="20"/>
          <w:szCs w:val="20"/>
        </w:rPr>
        <w:t>Revisar el resultado de las evaluaciones del Presupuesto basado en Resultados (</w:t>
      </w:r>
      <w:proofErr w:type="spellStart"/>
      <w:r>
        <w:rPr>
          <w:sz w:val="20"/>
          <w:szCs w:val="20"/>
        </w:rPr>
        <w:t>PbR</w:t>
      </w:r>
      <w:proofErr w:type="spellEnd"/>
      <w:r>
        <w:rPr>
          <w:sz w:val="20"/>
          <w:szCs w:val="20"/>
        </w:rPr>
        <w:t>) y el Sistema de Evaluación del Desempeño</w:t>
      </w:r>
      <w:r>
        <w:rPr>
          <w:spacing w:val="-6"/>
          <w:sz w:val="20"/>
          <w:szCs w:val="20"/>
        </w:rPr>
        <w:t xml:space="preserve"> </w:t>
      </w:r>
      <w:r w:rsidRPr="00525950">
        <w:rPr>
          <w:sz w:val="20"/>
          <w:szCs w:val="20"/>
        </w:rPr>
        <w:t xml:space="preserve">(SED), y así aplicar las medidas derivadas de la planeación estratégica y consolidar el </w:t>
      </w:r>
      <w:proofErr w:type="spellStart"/>
      <w:r w:rsidRPr="00525950">
        <w:rPr>
          <w:sz w:val="20"/>
          <w:szCs w:val="20"/>
        </w:rPr>
        <w:t>PbR</w:t>
      </w:r>
      <w:proofErr w:type="spellEnd"/>
      <w:r w:rsidRPr="00525950">
        <w:rPr>
          <w:sz w:val="20"/>
          <w:szCs w:val="20"/>
        </w:rPr>
        <w:t xml:space="preserve"> - SED.</w:t>
      </w:r>
    </w:p>
    <w:p w14:paraId="246AD23A" w14:textId="77777777" w:rsidR="00314E2F" w:rsidRDefault="00314E2F" w:rsidP="00314E2F">
      <w:pPr>
        <w:pStyle w:val="Prrafodelista"/>
        <w:numPr>
          <w:ilvl w:val="0"/>
          <w:numId w:val="11"/>
        </w:numPr>
        <w:spacing w:before="240" w:line="360" w:lineRule="auto"/>
        <w:jc w:val="both"/>
        <w:rPr>
          <w:sz w:val="20"/>
          <w:szCs w:val="20"/>
        </w:rPr>
      </w:pPr>
      <w:r>
        <w:rPr>
          <w:sz w:val="20"/>
          <w:szCs w:val="20"/>
        </w:rPr>
        <w:t>Garantizar la transparencia y rendición de cuentas, mediante la entrega y difusión de información, observando los lineamientos y buenas prácticas en la materia, conforme las políticas del Instituto Mexicano para la Competitividad</w:t>
      </w:r>
      <w:r>
        <w:rPr>
          <w:spacing w:val="-9"/>
          <w:sz w:val="20"/>
          <w:szCs w:val="20"/>
        </w:rPr>
        <w:t xml:space="preserve"> </w:t>
      </w:r>
      <w:r>
        <w:rPr>
          <w:sz w:val="20"/>
          <w:szCs w:val="20"/>
        </w:rPr>
        <w:t>(IMCO), mediante la aplicación del marco normativo aplicable.</w:t>
      </w:r>
    </w:p>
    <w:p w14:paraId="310FD1FD" w14:textId="77777777" w:rsidR="00314E2F" w:rsidRDefault="00314E2F" w:rsidP="00314E2F">
      <w:pPr>
        <w:pStyle w:val="Prrafodelista"/>
        <w:numPr>
          <w:ilvl w:val="0"/>
          <w:numId w:val="11"/>
        </w:numPr>
        <w:spacing w:before="240" w:line="360" w:lineRule="auto"/>
        <w:jc w:val="both"/>
        <w:rPr>
          <w:sz w:val="20"/>
          <w:szCs w:val="20"/>
        </w:rPr>
      </w:pPr>
      <w:r>
        <w:rPr>
          <w:sz w:val="20"/>
          <w:szCs w:val="20"/>
        </w:rPr>
        <w:t>Atender las recomendaciones de los órganos fiscalizadores y las reglas emitidas por la Secretaría de Hacienda y Crédito Público</w:t>
      </w:r>
      <w:r>
        <w:rPr>
          <w:spacing w:val="-7"/>
          <w:sz w:val="20"/>
          <w:szCs w:val="20"/>
        </w:rPr>
        <w:t xml:space="preserve"> </w:t>
      </w:r>
      <w:r>
        <w:rPr>
          <w:sz w:val="20"/>
          <w:szCs w:val="20"/>
        </w:rPr>
        <w:t xml:space="preserve">(SHCP), así </w:t>
      </w:r>
      <w:r w:rsidRPr="00A832E4">
        <w:rPr>
          <w:sz w:val="20"/>
          <w:szCs w:val="20"/>
        </w:rPr>
        <w:t>como de aquellos entes a los cuales se les debe rendir algún informe.</w:t>
      </w:r>
    </w:p>
    <w:p w14:paraId="46F7A55C" w14:textId="77777777" w:rsidR="00314E2F" w:rsidRDefault="00314E2F" w:rsidP="00314E2F">
      <w:pPr>
        <w:pStyle w:val="Prrafodelista"/>
        <w:numPr>
          <w:ilvl w:val="0"/>
          <w:numId w:val="11"/>
        </w:numPr>
        <w:spacing w:before="240" w:line="360" w:lineRule="auto"/>
        <w:jc w:val="both"/>
        <w:rPr>
          <w:sz w:val="20"/>
          <w:szCs w:val="20"/>
        </w:rPr>
      </w:pPr>
      <w:r>
        <w:rPr>
          <w:sz w:val="20"/>
          <w:szCs w:val="20"/>
        </w:rPr>
        <w:t>Efectuar el registro contable del gasto público, la integración y la consolidación de la cuenta pública, conforme lo dispuesto en la Ley General de Contabilidad Gubernamental y las reglas del Consejo Nacional de Armonización Contable</w:t>
      </w:r>
      <w:r>
        <w:rPr>
          <w:spacing w:val="-11"/>
          <w:sz w:val="20"/>
          <w:szCs w:val="20"/>
        </w:rPr>
        <w:t xml:space="preserve"> </w:t>
      </w:r>
      <w:r>
        <w:rPr>
          <w:sz w:val="20"/>
          <w:szCs w:val="20"/>
        </w:rPr>
        <w:t>(CONAC).</w:t>
      </w:r>
    </w:p>
    <w:p w14:paraId="258F9B15" w14:textId="77777777" w:rsidR="00314E2F" w:rsidRDefault="00314E2F" w:rsidP="00314E2F">
      <w:pPr>
        <w:pStyle w:val="Prrafodelista"/>
        <w:numPr>
          <w:ilvl w:val="0"/>
          <w:numId w:val="11"/>
        </w:numPr>
        <w:spacing w:before="240" w:line="360" w:lineRule="auto"/>
        <w:jc w:val="both"/>
        <w:rPr>
          <w:sz w:val="20"/>
          <w:szCs w:val="20"/>
        </w:rPr>
      </w:pPr>
      <w:r>
        <w:rPr>
          <w:sz w:val="20"/>
          <w:szCs w:val="20"/>
        </w:rPr>
        <w:t>Mantener un nivel de endeudamiento cero, y no creación de nuevos impuestos, así como una estricta disciplina fiscal, para garantizar finanzas públicas sanas y una hacienda</w:t>
      </w:r>
      <w:r>
        <w:rPr>
          <w:spacing w:val="-21"/>
          <w:sz w:val="20"/>
          <w:szCs w:val="20"/>
        </w:rPr>
        <w:t xml:space="preserve"> </w:t>
      </w:r>
      <w:r>
        <w:rPr>
          <w:sz w:val="20"/>
          <w:szCs w:val="20"/>
        </w:rPr>
        <w:t>equilibrada.</w:t>
      </w:r>
    </w:p>
    <w:p w14:paraId="113D343F" w14:textId="77777777" w:rsidR="00314E2F" w:rsidRDefault="00314E2F" w:rsidP="00314E2F">
      <w:pPr>
        <w:pStyle w:val="Prrafodelista"/>
        <w:numPr>
          <w:ilvl w:val="0"/>
          <w:numId w:val="11"/>
        </w:numPr>
        <w:spacing w:before="240" w:line="360" w:lineRule="auto"/>
        <w:jc w:val="both"/>
        <w:rPr>
          <w:sz w:val="20"/>
          <w:szCs w:val="20"/>
        </w:rPr>
      </w:pPr>
      <w:r>
        <w:rPr>
          <w:sz w:val="20"/>
          <w:szCs w:val="20"/>
        </w:rPr>
        <w:t xml:space="preserve">Incluir recursos estatales específicos para la atención a </w:t>
      </w:r>
      <w:r w:rsidRPr="00DB1BAD">
        <w:rPr>
          <w:sz w:val="20"/>
          <w:szCs w:val="20"/>
        </w:rPr>
        <w:t>NNA Albergue DIF para la Niñez Migrante No Acompañada y Migrante Acompañada.</w:t>
      </w:r>
    </w:p>
    <w:p w14:paraId="740A1087" w14:textId="77777777" w:rsidR="00314E2F" w:rsidRDefault="00314E2F" w:rsidP="00314E2F">
      <w:pPr>
        <w:pStyle w:val="Prrafodelista"/>
        <w:numPr>
          <w:ilvl w:val="0"/>
          <w:numId w:val="11"/>
        </w:numPr>
        <w:spacing w:before="240" w:line="360" w:lineRule="auto"/>
        <w:jc w:val="both"/>
        <w:rPr>
          <w:sz w:val="20"/>
          <w:szCs w:val="20"/>
        </w:rPr>
      </w:pPr>
      <w:r>
        <w:rPr>
          <w:sz w:val="20"/>
          <w:szCs w:val="20"/>
        </w:rPr>
        <w:t>Incluir</w:t>
      </w:r>
      <w:r>
        <w:rPr>
          <w:spacing w:val="-10"/>
          <w:sz w:val="20"/>
          <w:szCs w:val="20"/>
        </w:rPr>
        <w:t xml:space="preserve"> </w:t>
      </w:r>
      <w:r>
        <w:rPr>
          <w:sz w:val="20"/>
          <w:szCs w:val="20"/>
        </w:rPr>
        <w:t>recursos</w:t>
      </w:r>
      <w:r>
        <w:rPr>
          <w:spacing w:val="-11"/>
          <w:sz w:val="20"/>
          <w:szCs w:val="20"/>
        </w:rPr>
        <w:t xml:space="preserve"> </w:t>
      </w:r>
      <w:r>
        <w:rPr>
          <w:sz w:val="20"/>
          <w:szCs w:val="20"/>
        </w:rPr>
        <w:t>para</w:t>
      </w:r>
      <w:r>
        <w:rPr>
          <w:spacing w:val="-10"/>
          <w:sz w:val="20"/>
          <w:szCs w:val="20"/>
        </w:rPr>
        <w:t xml:space="preserve"> </w:t>
      </w:r>
      <w:r>
        <w:rPr>
          <w:sz w:val="20"/>
          <w:szCs w:val="20"/>
        </w:rPr>
        <w:t>impulsar</w:t>
      </w:r>
      <w:r>
        <w:rPr>
          <w:spacing w:val="-7"/>
          <w:sz w:val="20"/>
          <w:szCs w:val="20"/>
        </w:rPr>
        <w:t xml:space="preserve"> </w:t>
      </w:r>
      <w:r>
        <w:rPr>
          <w:sz w:val="20"/>
          <w:szCs w:val="20"/>
        </w:rPr>
        <w:t>la</w:t>
      </w:r>
      <w:r>
        <w:rPr>
          <w:spacing w:val="-10"/>
          <w:sz w:val="20"/>
          <w:szCs w:val="20"/>
        </w:rPr>
        <w:t xml:space="preserve"> </w:t>
      </w:r>
      <w:r>
        <w:rPr>
          <w:sz w:val="20"/>
          <w:szCs w:val="20"/>
        </w:rPr>
        <w:t>igualdad</w:t>
      </w:r>
      <w:r>
        <w:rPr>
          <w:spacing w:val="-9"/>
          <w:sz w:val="20"/>
          <w:szCs w:val="20"/>
        </w:rPr>
        <w:t xml:space="preserve"> </w:t>
      </w:r>
      <w:r>
        <w:rPr>
          <w:sz w:val="20"/>
          <w:szCs w:val="20"/>
        </w:rPr>
        <w:t>de</w:t>
      </w:r>
      <w:r>
        <w:rPr>
          <w:spacing w:val="-10"/>
          <w:sz w:val="20"/>
          <w:szCs w:val="20"/>
        </w:rPr>
        <w:t xml:space="preserve"> </w:t>
      </w:r>
      <w:r>
        <w:rPr>
          <w:sz w:val="20"/>
          <w:szCs w:val="20"/>
        </w:rPr>
        <w:t>oportunidades</w:t>
      </w:r>
      <w:r>
        <w:rPr>
          <w:spacing w:val="-11"/>
          <w:sz w:val="20"/>
          <w:szCs w:val="20"/>
        </w:rPr>
        <w:t xml:space="preserve"> </w:t>
      </w:r>
      <w:r>
        <w:rPr>
          <w:sz w:val="20"/>
          <w:szCs w:val="20"/>
        </w:rPr>
        <w:t>entre</w:t>
      </w:r>
      <w:r>
        <w:rPr>
          <w:spacing w:val="-7"/>
          <w:sz w:val="20"/>
          <w:szCs w:val="20"/>
        </w:rPr>
        <w:t xml:space="preserve"> </w:t>
      </w:r>
      <w:r>
        <w:rPr>
          <w:sz w:val="20"/>
          <w:szCs w:val="20"/>
        </w:rPr>
        <w:t>mujeres</w:t>
      </w:r>
      <w:r>
        <w:rPr>
          <w:spacing w:val="-8"/>
          <w:sz w:val="20"/>
          <w:szCs w:val="20"/>
        </w:rPr>
        <w:t xml:space="preserve"> </w:t>
      </w:r>
      <w:r>
        <w:rPr>
          <w:sz w:val="20"/>
          <w:szCs w:val="20"/>
        </w:rPr>
        <w:t>y</w:t>
      </w:r>
      <w:r>
        <w:rPr>
          <w:spacing w:val="-13"/>
          <w:sz w:val="20"/>
          <w:szCs w:val="20"/>
        </w:rPr>
        <w:t xml:space="preserve"> </w:t>
      </w:r>
      <w:r>
        <w:rPr>
          <w:sz w:val="20"/>
          <w:szCs w:val="20"/>
        </w:rPr>
        <w:t>hombres,</w:t>
      </w:r>
      <w:r>
        <w:rPr>
          <w:spacing w:val="-10"/>
          <w:sz w:val="20"/>
          <w:szCs w:val="20"/>
        </w:rPr>
        <w:t xml:space="preserve"> </w:t>
      </w:r>
      <w:r>
        <w:rPr>
          <w:sz w:val="20"/>
          <w:szCs w:val="20"/>
        </w:rPr>
        <w:t>a</w:t>
      </w:r>
      <w:r>
        <w:rPr>
          <w:spacing w:val="-10"/>
          <w:sz w:val="20"/>
          <w:szCs w:val="20"/>
        </w:rPr>
        <w:t xml:space="preserve"> </w:t>
      </w:r>
      <w:r>
        <w:rPr>
          <w:sz w:val="20"/>
          <w:szCs w:val="20"/>
        </w:rPr>
        <w:t>través</w:t>
      </w:r>
      <w:r>
        <w:rPr>
          <w:spacing w:val="-11"/>
          <w:sz w:val="20"/>
          <w:szCs w:val="20"/>
        </w:rPr>
        <w:t xml:space="preserve"> </w:t>
      </w:r>
      <w:r>
        <w:rPr>
          <w:sz w:val="20"/>
          <w:szCs w:val="20"/>
        </w:rPr>
        <w:t>de</w:t>
      </w:r>
      <w:r>
        <w:rPr>
          <w:spacing w:val="-10"/>
          <w:sz w:val="20"/>
          <w:szCs w:val="20"/>
        </w:rPr>
        <w:t xml:space="preserve"> </w:t>
      </w:r>
      <w:r>
        <w:rPr>
          <w:sz w:val="20"/>
          <w:szCs w:val="20"/>
        </w:rPr>
        <w:t>la</w:t>
      </w:r>
      <w:r>
        <w:rPr>
          <w:spacing w:val="-10"/>
          <w:sz w:val="20"/>
          <w:szCs w:val="20"/>
        </w:rPr>
        <w:t xml:space="preserve"> </w:t>
      </w:r>
      <w:r>
        <w:rPr>
          <w:sz w:val="20"/>
          <w:szCs w:val="20"/>
        </w:rPr>
        <w:t>incorporación de</w:t>
      </w:r>
      <w:r>
        <w:rPr>
          <w:spacing w:val="-6"/>
          <w:sz w:val="20"/>
          <w:szCs w:val="20"/>
        </w:rPr>
        <w:t xml:space="preserve"> </w:t>
      </w:r>
      <w:r>
        <w:rPr>
          <w:sz w:val="20"/>
          <w:szCs w:val="20"/>
        </w:rPr>
        <w:t>la</w:t>
      </w:r>
      <w:r>
        <w:rPr>
          <w:spacing w:val="-7"/>
          <w:sz w:val="20"/>
          <w:szCs w:val="20"/>
        </w:rPr>
        <w:t xml:space="preserve"> </w:t>
      </w:r>
      <w:r>
        <w:rPr>
          <w:sz w:val="20"/>
          <w:szCs w:val="20"/>
        </w:rPr>
        <w:t>perspectiva</w:t>
      </w:r>
      <w:r>
        <w:rPr>
          <w:spacing w:val="-6"/>
          <w:sz w:val="20"/>
          <w:szCs w:val="20"/>
        </w:rPr>
        <w:t xml:space="preserve"> </w:t>
      </w:r>
      <w:r>
        <w:rPr>
          <w:sz w:val="20"/>
          <w:szCs w:val="20"/>
        </w:rPr>
        <w:t>de</w:t>
      </w:r>
      <w:r>
        <w:rPr>
          <w:spacing w:val="-4"/>
          <w:sz w:val="20"/>
          <w:szCs w:val="20"/>
        </w:rPr>
        <w:t xml:space="preserve"> </w:t>
      </w:r>
      <w:r>
        <w:rPr>
          <w:sz w:val="20"/>
          <w:szCs w:val="20"/>
        </w:rPr>
        <w:t>género</w:t>
      </w:r>
      <w:r>
        <w:rPr>
          <w:spacing w:val="-6"/>
          <w:sz w:val="20"/>
          <w:szCs w:val="20"/>
        </w:rPr>
        <w:t xml:space="preserve"> </w:t>
      </w:r>
      <w:r>
        <w:rPr>
          <w:sz w:val="20"/>
          <w:szCs w:val="20"/>
        </w:rPr>
        <w:t>en</w:t>
      </w:r>
      <w:r>
        <w:rPr>
          <w:spacing w:val="-5"/>
          <w:sz w:val="20"/>
          <w:szCs w:val="20"/>
        </w:rPr>
        <w:t xml:space="preserve"> </w:t>
      </w:r>
      <w:r>
        <w:rPr>
          <w:sz w:val="20"/>
          <w:szCs w:val="20"/>
        </w:rPr>
        <w:t>el</w:t>
      </w:r>
      <w:r>
        <w:rPr>
          <w:spacing w:val="-7"/>
          <w:sz w:val="20"/>
          <w:szCs w:val="20"/>
        </w:rPr>
        <w:t xml:space="preserve"> </w:t>
      </w:r>
      <w:r>
        <w:rPr>
          <w:sz w:val="20"/>
          <w:szCs w:val="20"/>
        </w:rPr>
        <w:t>diseño,</w:t>
      </w:r>
      <w:r>
        <w:rPr>
          <w:spacing w:val="-6"/>
          <w:sz w:val="20"/>
          <w:szCs w:val="20"/>
        </w:rPr>
        <w:t xml:space="preserve"> </w:t>
      </w:r>
      <w:r>
        <w:rPr>
          <w:sz w:val="20"/>
          <w:szCs w:val="20"/>
        </w:rPr>
        <w:t>elaboración</w:t>
      </w:r>
      <w:r>
        <w:rPr>
          <w:spacing w:val="-6"/>
          <w:sz w:val="20"/>
          <w:szCs w:val="20"/>
        </w:rPr>
        <w:t xml:space="preserve"> </w:t>
      </w:r>
      <w:r>
        <w:rPr>
          <w:sz w:val="20"/>
          <w:szCs w:val="20"/>
        </w:rPr>
        <w:t>y</w:t>
      </w:r>
      <w:r>
        <w:rPr>
          <w:spacing w:val="-8"/>
          <w:sz w:val="20"/>
          <w:szCs w:val="20"/>
        </w:rPr>
        <w:t xml:space="preserve"> </w:t>
      </w:r>
      <w:r>
        <w:rPr>
          <w:sz w:val="20"/>
          <w:szCs w:val="20"/>
        </w:rPr>
        <w:t>aplicación</w:t>
      </w:r>
      <w:r>
        <w:rPr>
          <w:spacing w:val="-8"/>
          <w:sz w:val="20"/>
          <w:szCs w:val="20"/>
        </w:rPr>
        <w:t xml:space="preserve"> </w:t>
      </w:r>
      <w:r>
        <w:rPr>
          <w:sz w:val="20"/>
          <w:szCs w:val="20"/>
        </w:rPr>
        <w:t>de</w:t>
      </w:r>
      <w:r>
        <w:rPr>
          <w:spacing w:val="-6"/>
          <w:sz w:val="20"/>
          <w:szCs w:val="20"/>
        </w:rPr>
        <w:t xml:space="preserve"> </w:t>
      </w:r>
      <w:r>
        <w:rPr>
          <w:sz w:val="20"/>
          <w:szCs w:val="20"/>
        </w:rPr>
        <w:t>los</w:t>
      </w:r>
      <w:r>
        <w:rPr>
          <w:spacing w:val="-7"/>
          <w:sz w:val="20"/>
          <w:szCs w:val="20"/>
        </w:rPr>
        <w:t xml:space="preserve"> </w:t>
      </w:r>
      <w:r>
        <w:rPr>
          <w:sz w:val="20"/>
          <w:szCs w:val="20"/>
        </w:rPr>
        <w:t>programas</w:t>
      </w:r>
      <w:r>
        <w:rPr>
          <w:spacing w:val="-7"/>
          <w:sz w:val="20"/>
          <w:szCs w:val="20"/>
        </w:rPr>
        <w:t xml:space="preserve"> </w:t>
      </w:r>
      <w:r>
        <w:rPr>
          <w:sz w:val="20"/>
          <w:szCs w:val="20"/>
        </w:rPr>
        <w:t>de</w:t>
      </w:r>
      <w:r>
        <w:rPr>
          <w:spacing w:val="-4"/>
          <w:sz w:val="20"/>
          <w:szCs w:val="20"/>
        </w:rPr>
        <w:t xml:space="preserve"> </w:t>
      </w:r>
      <w:r>
        <w:rPr>
          <w:sz w:val="20"/>
          <w:szCs w:val="20"/>
        </w:rPr>
        <w:t>la</w:t>
      </w:r>
      <w:r>
        <w:rPr>
          <w:spacing w:val="-4"/>
          <w:sz w:val="20"/>
          <w:szCs w:val="20"/>
        </w:rPr>
        <w:t xml:space="preserve"> </w:t>
      </w:r>
      <w:r>
        <w:rPr>
          <w:sz w:val="20"/>
          <w:szCs w:val="20"/>
        </w:rPr>
        <w:t>Administración</w:t>
      </w:r>
      <w:r>
        <w:rPr>
          <w:spacing w:val="-6"/>
          <w:sz w:val="20"/>
          <w:szCs w:val="20"/>
        </w:rPr>
        <w:t xml:space="preserve"> </w:t>
      </w:r>
      <w:r>
        <w:rPr>
          <w:sz w:val="20"/>
          <w:szCs w:val="20"/>
        </w:rPr>
        <w:t>Pública Estatal, y</w:t>
      </w:r>
    </w:p>
    <w:p w14:paraId="6A68D75B" w14:textId="4128FB5C" w:rsidR="00F32B1D" w:rsidRPr="00314E2F" w:rsidRDefault="00314E2F" w:rsidP="00314E2F">
      <w:pPr>
        <w:pStyle w:val="Prrafodelista"/>
        <w:numPr>
          <w:ilvl w:val="0"/>
          <w:numId w:val="11"/>
        </w:numPr>
        <w:spacing w:before="240" w:line="360" w:lineRule="auto"/>
        <w:jc w:val="both"/>
        <w:rPr>
          <w:sz w:val="20"/>
          <w:szCs w:val="20"/>
        </w:rPr>
      </w:pPr>
      <w:r w:rsidRPr="00314E2F">
        <w:rPr>
          <w:sz w:val="20"/>
          <w:szCs w:val="20"/>
        </w:rPr>
        <w:t>Incluir recursos para la atención en el cumplimiento de las recomendaciones de la Alerta de Violencia de Género</w:t>
      </w:r>
    </w:p>
    <w:p w14:paraId="197EB5D2" w14:textId="38A090E1" w:rsidR="009C37B3" w:rsidRDefault="009C37B3" w:rsidP="00D50246">
      <w:pPr>
        <w:pStyle w:val="Prrafodelista"/>
        <w:numPr>
          <w:ilvl w:val="0"/>
          <w:numId w:val="4"/>
        </w:numPr>
        <w:spacing w:line="360" w:lineRule="auto"/>
        <w:jc w:val="both"/>
        <w:rPr>
          <w:b/>
          <w:sz w:val="20"/>
          <w:szCs w:val="20"/>
        </w:rPr>
      </w:pPr>
      <w:r>
        <w:rPr>
          <w:b/>
          <w:sz w:val="20"/>
          <w:szCs w:val="20"/>
        </w:rPr>
        <w:lastRenderedPageBreak/>
        <w:t>PROYECTO DE DECRETO DE PRESUPUESTO DE EGRESOS DEL ESTADO DE TLAXCALA PARA EL EJERCICIO FISCAL 202</w:t>
      </w:r>
      <w:r w:rsidR="00201309">
        <w:rPr>
          <w:b/>
          <w:sz w:val="20"/>
          <w:szCs w:val="20"/>
        </w:rPr>
        <w:t>5</w:t>
      </w:r>
    </w:p>
    <w:p w14:paraId="2D11ECC4" w14:textId="77777777" w:rsidR="009C37B3" w:rsidRDefault="009C37B3" w:rsidP="009C37B3">
      <w:pPr>
        <w:spacing w:line="360" w:lineRule="auto"/>
        <w:jc w:val="both"/>
        <w:rPr>
          <w:b/>
          <w:sz w:val="20"/>
          <w:szCs w:val="20"/>
        </w:rPr>
      </w:pPr>
    </w:p>
    <w:p w14:paraId="351326F7" w14:textId="77777777" w:rsidR="004B3C0F" w:rsidRDefault="004B3C0F" w:rsidP="005B2A50">
      <w:pPr>
        <w:spacing w:line="360" w:lineRule="auto"/>
        <w:jc w:val="both"/>
        <w:rPr>
          <w:sz w:val="20"/>
          <w:szCs w:val="20"/>
        </w:rPr>
      </w:pPr>
    </w:p>
    <w:p w14:paraId="2FDD964E" w14:textId="77777777" w:rsidR="005B2A50" w:rsidRDefault="005B2A50" w:rsidP="005B2A50">
      <w:pPr>
        <w:spacing w:line="360" w:lineRule="auto"/>
        <w:jc w:val="both"/>
        <w:rPr>
          <w:sz w:val="20"/>
          <w:szCs w:val="20"/>
        </w:rPr>
      </w:pPr>
      <w:r w:rsidRPr="00201309">
        <w:rPr>
          <w:sz w:val="20"/>
          <w:szCs w:val="20"/>
        </w:rPr>
        <w:t>Se propone a esta Legislatura un Proyecto de Decreto de Presupuesto de Egresos del Estado de Tlaxcala para el Ejercicio Fiscal 2025, por un monto de $</w:t>
      </w:r>
      <w:r w:rsidRPr="008B2507">
        <w:rPr>
          <w:b/>
          <w:sz w:val="20"/>
          <w:szCs w:val="20"/>
        </w:rPr>
        <w:t>29,129,883,393.00</w:t>
      </w:r>
      <w:r w:rsidRPr="00201309">
        <w:rPr>
          <w:sz w:val="20"/>
          <w:szCs w:val="20"/>
        </w:rPr>
        <w:t>, que serán destinados para atender las funciones de los Poderes Legislativo, Judicial y Ejecutivo, así como para los Organismos Públicos Descentralizados, Entes Autónomos y Municipios, con el propósito de que se cumpla con las demandas de la población y garantice la viabilidad, equilibrio y sustentabilidad financiera de la hacienda pública, conforme lo siguiente</w:t>
      </w:r>
      <w:r>
        <w:rPr>
          <w:sz w:val="20"/>
          <w:szCs w:val="20"/>
        </w:rPr>
        <w:t>:</w:t>
      </w:r>
    </w:p>
    <w:p w14:paraId="62DBFE95" w14:textId="77777777" w:rsidR="005B2A50" w:rsidRDefault="005B2A50" w:rsidP="005B2A50">
      <w:pPr>
        <w:spacing w:line="360" w:lineRule="auto"/>
        <w:jc w:val="both"/>
        <w:rPr>
          <w:sz w:val="20"/>
          <w:szCs w:val="20"/>
        </w:rPr>
      </w:pPr>
    </w:p>
    <w:p w14:paraId="2CC28893" w14:textId="77777777" w:rsidR="005B2A50" w:rsidRDefault="005B2A50" w:rsidP="005B2A50">
      <w:pPr>
        <w:pStyle w:val="Prrafodelista"/>
        <w:numPr>
          <w:ilvl w:val="0"/>
          <w:numId w:val="12"/>
        </w:numPr>
        <w:spacing w:line="360" w:lineRule="auto"/>
        <w:jc w:val="both"/>
        <w:rPr>
          <w:sz w:val="20"/>
          <w:szCs w:val="20"/>
        </w:rPr>
      </w:pPr>
      <w:r w:rsidRPr="00201309">
        <w:rPr>
          <w:sz w:val="20"/>
          <w:szCs w:val="20"/>
        </w:rPr>
        <w:t>El presupuesto global estatal para el Ejercicio Fiscal 2025, integrado por participaciones federales, incentivos derivados de la colaboración fiscal e ingresos propios, estima un monto de $14,790,895,093.00</w:t>
      </w:r>
      <w:r>
        <w:rPr>
          <w:color w:val="000000" w:themeColor="text1"/>
          <w:sz w:val="20"/>
          <w:szCs w:val="20"/>
        </w:rPr>
        <w:t xml:space="preserve">; </w:t>
      </w:r>
    </w:p>
    <w:p w14:paraId="3DFE3F34" w14:textId="77777777" w:rsidR="005B2A50" w:rsidRDefault="005B2A50" w:rsidP="005B2A50">
      <w:pPr>
        <w:spacing w:line="360" w:lineRule="auto"/>
        <w:jc w:val="both"/>
        <w:rPr>
          <w:sz w:val="20"/>
          <w:szCs w:val="20"/>
        </w:rPr>
      </w:pPr>
    </w:p>
    <w:p w14:paraId="5DCB7286" w14:textId="77777777" w:rsidR="005B2A50" w:rsidRDefault="005B2A50" w:rsidP="005B2A50">
      <w:pPr>
        <w:pStyle w:val="Prrafodelista"/>
        <w:numPr>
          <w:ilvl w:val="0"/>
          <w:numId w:val="12"/>
        </w:numPr>
        <w:spacing w:line="360" w:lineRule="auto"/>
        <w:jc w:val="both"/>
        <w:rPr>
          <w:sz w:val="20"/>
          <w:szCs w:val="20"/>
        </w:rPr>
      </w:pPr>
      <w:r w:rsidRPr="00201309">
        <w:rPr>
          <w:sz w:val="20"/>
          <w:szCs w:val="20"/>
        </w:rPr>
        <w:t>Las Aportaciones Federales, del Ramo 33, previstas en el Proyecto de Decreto de Presupuesto de Egresos del Estado de Tlaxcala para el Ejercicio Fiscal 2025, prevén un monto de $14,338,988,300.00, ajustándose en los montos estimados en el Presupuesto de Egresos de la Federación para el Ejercicio Fiscal 2025, destinados fundamentalmente a programas de educación, salud, seguridad, infraestructura social y fondos municipales</w:t>
      </w:r>
      <w:r>
        <w:rPr>
          <w:sz w:val="20"/>
          <w:szCs w:val="20"/>
        </w:rPr>
        <w:t>.</w:t>
      </w:r>
    </w:p>
    <w:p w14:paraId="60F56734" w14:textId="77777777" w:rsidR="005B2A50" w:rsidRPr="00963909" w:rsidRDefault="005B2A50" w:rsidP="005B2A50">
      <w:pPr>
        <w:pStyle w:val="Prrafodelista"/>
        <w:rPr>
          <w:sz w:val="20"/>
          <w:szCs w:val="20"/>
        </w:rPr>
      </w:pPr>
    </w:p>
    <w:p w14:paraId="41851EA4" w14:textId="77777777" w:rsidR="005B2A50" w:rsidRDefault="005B2A50" w:rsidP="005B2A50">
      <w:pPr>
        <w:pStyle w:val="Prrafodelista"/>
        <w:spacing w:line="360" w:lineRule="auto"/>
        <w:ind w:left="1440"/>
        <w:jc w:val="both"/>
        <w:rPr>
          <w:sz w:val="20"/>
          <w:szCs w:val="20"/>
        </w:rPr>
      </w:pPr>
    </w:p>
    <w:p w14:paraId="202C45F1" w14:textId="77777777" w:rsidR="005B2A50" w:rsidRDefault="005B2A50" w:rsidP="005B2A50">
      <w:pPr>
        <w:spacing w:line="360" w:lineRule="auto"/>
        <w:jc w:val="center"/>
        <w:rPr>
          <w:b/>
          <w:sz w:val="20"/>
          <w:szCs w:val="20"/>
        </w:rPr>
      </w:pPr>
      <w:r>
        <w:rPr>
          <w:b/>
          <w:sz w:val="20"/>
          <w:szCs w:val="20"/>
        </w:rPr>
        <w:t>PRESUPUESTO POR FUENTE DE FINANCIAMIENTO</w:t>
      </w:r>
    </w:p>
    <w:p w14:paraId="5D83FA9A" w14:textId="77777777" w:rsidR="005B2A50" w:rsidRDefault="005B2A50" w:rsidP="005B2A50">
      <w:pPr>
        <w:spacing w:line="360" w:lineRule="auto"/>
        <w:jc w:val="both"/>
        <w:rPr>
          <w:sz w:val="20"/>
          <w:szCs w:val="20"/>
        </w:rPr>
      </w:pPr>
    </w:p>
    <w:p w14:paraId="2B31CDCC" w14:textId="77777777" w:rsidR="005B2A50" w:rsidRDefault="005B2A50" w:rsidP="005B2A50">
      <w:pPr>
        <w:spacing w:line="360" w:lineRule="auto"/>
        <w:jc w:val="both"/>
        <w:rPr>
          <w:sz w:val="20"/>
          <w:szCs w:val="20"/>
        </w:rPr>
      </w:pPr>
      <w:r w:rsidRPr="00201309">
        <w:rPr>
          <w:sz w:val="20"/>
          <w:szCs w:val="20"/>
        </w:rPr>
        <w:t>La clasificación por fuentes de financiamiento consiste en presentar los gastos públicos según los agregados genéricos de los recursos empleados para su financiamiento</w:t>
      </w:r>
      <w:r>
        <w:rPr>
          <w:sz w:val="20"/>
          <w:szCs w:val="20"/>
        </w:rPr>
        <w:t xml:space="preserve">. </w:t>
      </w:r>
    </w:p>
    <w:p w14:paraId="30B0DB82" w14:textId="77777777" w:rsidR="005B2A50" w:rsidRDefault="005B2A50" w:rsidP="005B2A50">
      <w:pPr>
        <w:spacing w:line="360" w:lineRule="auto"/>
        <w:jc w:val="both"/>
        <w:rPr>
          <w:sz w:val="20"/>
          <w:szCs w:val="20"/>
        </w:rPr>
      </w:pPr>
    </w:p>
    <w:p w14:paraId="0BE1E03F" w14:textId="77777777" w:rsidR="005B2A50" w:rsidRPr="00201309" w:rsidRDefault="005B2A50" w:rsidP="005B2A50">
      <w:pPr>
        <w:spacing w:line="360" w:lineRule="auto"/>
        <w:jc w:val="both"/>
        <w:rPr>
          <w:sz w:val="20"/>
          <w:szCs w:val="20"/>
        </w:rPr>
      </w:pPr>
      <w:r w:rsidRPr="00201309">
        <w:rPr>
          <w:sz w:val="20"/>
          <w:szCs w:val="20"/>
        </w:rPr>
        <w:t xml:space="preserve">Esta clasificación permite identificar las fuentes u orígenes de los ingresos que financian los egresos y precisar la orientación específica de cada fuente a efecto de controlar su aplicación. </w:t>
      </w:r>
    </w:p>
    <w:p w14:paraId="73649871" w14:textId="77777777" w:rsidR="005B2A50" w:rsidRPr="00201309" w:rsidRDefault="005B2A50" w:rsidP="005B2A50">
      <w:pPr>
        <w:spacing w:line="360" w:lineRule="auto"/>
        <w:jc w:val="both"/>
        <w:rPr>
          <w:sz w:val="20"/>
          <w:szCs w:val="20"/>
        </w:rPr>
      </w:pPr>
    </w:p>
    <w:p w14:paraId="753912CB" w14:textId="77777777" w:rsidR="005B2A50" w:rsidRDefault="005B2A50" w:rsidP="005B2A50">
      <w:pPr>
        <w:spacing w:line="360" w:lineRule="auto"/>
        <w:jc w:val="both"/>
        <w:rPr>
          <w:sz w:val="20"/>
          <w:szCs w:val="20"/>
        </w:rPr>
      </w:pPr>
      <w:r w:rsidRPr="00201309">
        <w:rPr>
          <w:sz w:val="20"/>
          <w:szCs w:val="20"/>
        </w:rPr>
        <w:t>A continuación, se presenta la información correspondiente a esta Clasificación que prevé el Estado para el Ejercicio Fiscal 2025</w:t>
      </w:r>
      <w:r>
        <w:rPr>
          <w:sz w:val="20"/>
          <w:szCs w:val="20"/>
        </w:rPr>
        <w:t>:</w:t>
      </w:r>
    </w:p>
    <w:tbl>
      <w:tblPr>
        <w:tblW w:w="526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16"/>
        <w:gridCol w:w="1952"/>
      </w:tblGrid>
      <w:tr w:rsidR="005B2A50" w14:paraId="66C7ADA9" w14:textId="77777777" w:rsidTr="004B3C0F">
        <w:trPr>
          <w:trHeight w:val="276"/>
          <w:tblHeader/>
          <w:jc w:val="center"/>
        </w:trPr>
        <w:tc>
          <w:tcPr>
            <w:tcW w:w="3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071D2F94" w14:textId="77777777" w:rsidR="005B2A50" w:rsidRDefault="005B2A50" w:rsidP="00411DA3">
            <w:pPr>
              <w:spacing w:line="360" w:lineRule="auto"/>
              <w:jc w:val="center"/>
              <w:rPr>
                <w:b/>
                <w:bCs/>
                <w:color w:val="000000"/>
                <w:sz w:val="20"/>
                <w:szCs w:val="20"/>
                <w:lang w:val="es-MX" w:eastAsia="es-MX"/>
              </w:rPr>
            </w:pPr>
            <w:r>
              <w:rPr>
                <w:b/>
                <w:bCs/>
                <w:color w:val="000000"/>
                <w:sz w:val="20"/>
                <w:szCs w:val="20"/>
                <w:lang w:val="es-MX" w:eastAsia="es-MX"/>
              </w:rPr>
              <w:lastRenderedPageBreak/>
              <w:t>FUENTE DE FINANCIAMIENTO</w:t>
            </w:r>
          </w:p>
        </w:tc>
        <w:tc>
          <w:tcPr>
            <w:tcW w:w="19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05B6F42C" w14:textId="77777777" w:rsidR="005B2A50" w:rsidRDefault="005B2A50" w:rsidP="00411DA3">
            <w:pPr>
              <w:spacing w:line="360" w:lineRule="auto"/>
              <w:jc w:val="center"/>
              <w:rPr>
                <w:b/>
                <w:bCs/>
                <w:color w:val="000000"/>
                <w:sz w:val="20"/>
                <w:szCs w:val="20"/>
                <w:lang w:val="es-MX" w:eastAsia="es-MX"/>
              </w:rPr>
            </w:pPr>
            <w:r>
              <w:rPr>
                <w:b/>
                <w:bCs/>
                <w:color w:val="000000"/>
                <w:sz w:val="20"/>
                <w:szCs w:val="20"/>
                <w:lang w:val="es-MX" w:eastAsia="es-MX"/>
              </w:rPr>
              <w:t xml:space="preserve">MONTO </w:t>
            </w:r>
          </w:p>
          <w:p w14:paraId="56C1E053" w14:textId="77777777" w:rsidR="005B2A50" w:rsidRDefault="005B2A50" w:rsidP="00411DA3">
            <w:pPr>
              <w:spacing w:line="360" w:lineRule="auto"/>
              <w:jc w:val="center"/>
              <w:rPr>
                <w:b/>
                <w:bCs/>
                <w:color w:val="000000"/>
                <w:sz w:val="20"/>
                <w:szCs w:val="20"/>
                <w:lang w:val="es-MX" w:eastAsia="es-MX"/>
              </w:rPr>
            </w:pPr>
            <w:r>
              <w:rPr>
                <w:b/>
                <w:bCs/>
                <w:color w:val="000000"/>
                <w:sz w:val="20"/>
                <w:szCs w:val="20"/>
                <w:lang w:val="es-MX" w:eastAsia="es-MX"/>
              </w:rPr>
              <w:t>($)</w:t>
            </w:r>
          </w:p>
        </w:tc>
      </w:tr>
      <w:tr w:rsidR="005B2A50" w14:paraId="7AD7577E" w14:textId="77777777" w:rsidTr="004B3C0F">
        <w:trPr>
          <w:trHeight w:val="131"/>
          <w:jc w:val="center"/>
        </w:trPr>
        <w:tc>
          <w:tcPr>
            <w:tcW w:w="3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155E209C"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11. Recursos Fiscales</w:t>
            </w:r>
          </w:p>
        </w:tc>
        <w:tc>
          <w:tcPr>
            <w:tcW w:w="19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715CFF2" w14:textId="77777777" w:rsidR="005B2A50" w:rsidRDefault="005B2A50" w:rsidP="00411DA3">
            <w:pPr>
              <w:spacing w:line="254" w:lineRule="auto"/>
              <w:jc w:val="right"/>
              <w:rPr>
                <w:color w:val="000000"/>
                <w:sz w:val="20"/>
                <w:szCs w:val="20"/>
                <w:lang w:val="es-MX" w:eastAsia="es-MX"/>
              </w:rPr>
            </w:pPr>
            <w:r>
              <w:rPr>
                <w:color w:val="000000"/>
                <w:sz w:val="20"/>
                <w:szCs w:val="20"/>
              </w:rPr>
              <w:t>1,785,461,483.00</w:t>
            </w:r>
          </w:p>
        </w:tc>
      </w:tr>
      <w:tr w:rsidR="005B2A50" w14:paraId="375FC99F" w14:textId="77777777" w:rsidTr="004B3C0F">
        <w:trPr>
          <w:trHeight w:val="276"/>
          <w:jc w:val="center"/>
        </w:trPr>
        <w:tc>
          <w:tcPr>
            <w:tcW w:w="3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32448226"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12. Financiamientos Internos</w:t>
            </w:r>
          </w:p>
        </w:tc>
        <w:tc>
          <w:tcPr>
            <w:tcW w:w="19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941AB93" w14:textId="77777777" w:rsidR="005B2A50" w:rsidRDefault="005B2A50" w:rsidP="00411DA3">
            <w:pPr>
              <w:spacing w:line="254" w:lineRule="auto"/>
              <w:jc w:val="right"/>
              <w:rPr>
                <w:color w:val="000000"/>
                <w:sz w:val="20"/>
                <w:szCs w:val="20"/>
              </w:rPr>
            </w:pPr>
            <w:r>
              <w:rPr>
                <w:color w:val="000000"/>
                <w:sz w:val="20"/>
                <w:szCs w:val="20"/>
              </w:rPr>
              <w:t>0.00 </w:t>
            </w:r>
          </w:p>
        </w:tc>
      </w:tr>
      <w:tr w:rsidR="005B2A50" w14:paraId="220748FF" w14:textId="77777777" w:rsidTr="004B3C0F">
        <w:trPr>
          <w:trHeight w:val="276"/>
          <w:jc w:val="center"/>
        </w:trPr>
        <w:tc>
          <w:tcPr>
            <w:tcW w:w="3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70C69A79"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13. Financiamientos Externos</w:t>
            </w:r>
          </w:p>
        </w:tc>
        <w:tc>
          <w:tcPr>
            <w:tcW w:w="19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E20F943" w14:textId="77777777" w:rsidR="005B2A50" w:rsidRDefault="005B2A50" w:rsidP="00411DA3">
            <w:pPr>
              <w:spacing w:line="254" w:lineRule="auto"/>
              <w:jc w:val="right"/>
              <w:rPr>
                <w:color w:val="000000"/>
                <w:sz w:val="20"/>
                <w:szCs w:val="20"/>
              </w:rPr>
            </w:pPr>
            <w:r>
              <w:rPr>
                <w:color w:val="000000"/>
                <w:sz w:val="20"/>
                <w:szCs w:val="20"/>
              </w:rPr>
              <w:t>0.00 </w:t>
            </w:r>
          </w:p>
        </w:tc>
      </w:tr>
      <w:tr w:rsidR="005B2A50" w14:paraId="1E843DB4" w14:textId="77777777" w:rsidTr="004B3C0F">
        <w:trPr>
          <w:trHeight w:val="276"/>
          <w:jc w:val="center"/>
        </w:trPr>
        <w:tc>
          <w:tcPr>
            <w:tcW w:w="3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0C882752"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14. Ingresos Propios</w:t>
            </w:r>
          </w:p>
        </w:tc>
        <w:tc>
          <w:tcPr>
            <w:tcW w:w="19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E592F9B" w14:textId="77777777" w:rsidR="005B2A50" w:rsidRDefault="005B2A50" w:rsidP="00411DA3">
            <w:pPr>
              <w:spacing w:line="254" w:lineRule="auto"/>
              <w:jc w:val="right"/>
              <w:rPr>
                <w:color w:val="000000"/>
                <w:sz w:val="20"/>
                <w:szCs w:val="20"/>
              </w:rPr>
            </w:pPr>
            <w:r>
              <w:rPr>
                <w:color w:val="000000"/>
                <w:sz w:val="20"/>
                <w:szCs w:val="20"/>
              </w:rPr>
              <w:t>172,727,322.00</w:t>
            </w:r>
          </w:p>
        </w:tc>
      </w:tr>
      <w:tr w:rsidR="005B2A50" w14:paraId="1A63FC61" w14:textId="77777777" w:rsidTr="004B3C0F">
        <w:trPr>
          <w:trHeight w:val="276"/>
          <w:jc w:val="center"/>
        </w:trPr>
        <w:tc>
          <w:tcPr>
            <w:tcW w:w="3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523FE78C"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15. Recursos Federales</w:t>
            </w:r>
          </w:p>
        </w:tc>
        <w:tc>
          <w:tcPr>
            <w:tcW w:w="19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8A2D8CC" w14:textId="77777777" w:rsidR="005B2A50" w:rsidRDefault="005B2A50" w:rsidP="00411DA3">
            <w:pPr>
              <w:spacing w:line="254" w:lineRule="auto"/>
              <w:jc w:val="right"/>
              <w:rPr>
                <w:color w:val="000000"/>
                <w:sz w:val="20"/>
                <w:szCs w:val="20"/>
              </w:rPr>
            </w:pPr>
            <w:r>
              <w:rPr>
                <w:color w:val="000000"/>
                <w:sz w:val="20"/>
                <w:szCs w:val="20"/>
              </w:rPr>
              <w:t>12,832,706,288.00</w:t>
            </w:r>
          </w:p>
        </w:tc>
      </w:tr>
      <w:tr w:rsidR="005B2A50" w14:paraId="4AF41357" w14:textId="77777777" w:rsidTr="004B3C0F">
        <w:trPr>
          <w:trHeight w:val="276"/>
          <w:jc w:val="center"/>
        </w:trPr>
        <w:tc>
          <w:tcPr>
            <w:tcW w:w="3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08D5C8DE"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16. Recursos Estatales</w:t>
            </w:r>
          </w:p>
        </w:tc>
        <w:tc>
          <w:tcPr>
            <w:tcW w:w="19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C87A5E6" w14:textId="77777777" w:rsidR="005B2A50" w:rsidRDefault="005B2A50" w:rsidP="00411DA3">
            <w:pPr>
              <w:spacing w:line="254" w:lineRule="auto"/>
              <w:jc w:val="right"/>
              <w:rPr>
                <w:color w:val="000000"/>
                <w:sz w:val="20"/>
                <w:szCs w:val="20"/>
              </w:rPr>
            </w:pPr>
            <w:r>
              <w:rPr>
                <w:color w:val="000000"/>
                <w:sz w:val="20"/>
                <w:szCs w:val="20"/>
              </w:rPr>
              <w:t>0.00</w:t>
            </w:r>
          </w:p>
        </w:tc>
      </w:tr>
      <w:tr w:rsidR="005B2A50" w14:paraId="7EDBB03B" w14:textId="77777777" w:rsidTr="004B3C0F">
        <w:trPr>
          <w:trHeight w:val="276"/>
          <w:jc w:val="center"/>
        </w:trPr>
        <w:tc>
          <w:tcPr>
            <w:tcW w:w="3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1096BF95"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17. Otros Recursos de Libre Disposición</w:t>
            </w:r>
          </w:p>
        </w:tc>
        <w:tc>
          <w:tcPr>
            <w:tcW w:w="19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2407BD8" w14:textId="77777777" w:rsidR="005B2A50" w:rsidRDefault="005B2A50" w:rsidP="00411DA3">
            <w:pPr>
              <w:spacing w:line="254" w:lineRule="auto"/>
              <w:jc w:val="right"/>
              <w:rPr>
                <w:color w:val="000000"/>
                <w:sz w:val="20"/>
                <w:szCs w:val="20"/>
              </w:rPr>
            </w:pPr>
            <w:r>
              <w:rPr>
                <w:color w:val="000000"/>
                <w:sz w:val="20"/>
                <w:szCs w:val="20"/>
              </w:rPr>
              <w:t>0.00</w:t>
            </w:r>
          </w:p>
        </w:tc>
      </w:tr>
      <w:tr w:rsidR="005B2A50" w14:paraId="02A3AB69" w14:textId="77777777" w:rsidTr="004B3C0F">
        <w:trPr>
          <w:trHeight w:val="276"/>
          <w:jc w:val="center"/>
        </w:trPr>
        <w:tc>
          <w:tcPr>
            <w:tcW w:w="3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4D04D26D"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25. Recursos Federales</w:t>
            </w:r>
          </w:p>
        </w:tc>
        <w:tc>
          <w:tcPr>
            <w:tcW w:w="19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D098E44" w14:textId="77777777" w:rsidR="005B2A50" w:rsidRDefault="005B2A50" w:rsidP="00411DA3">
            <w:pPr>
              <w:spacing w:line="254" w:lineRule="auto"/>
              <w:jc w:val="right"/>
              <w:rPr>
                <w:color w:val="000000"/>
                <w:sz w:val="20"/>
                <w:szCs w:val="20"/>
              </w:rPr>
            </w:pPr>
            <w:r>
              <w:rPr>
                <w:color w:val="000000"/>
                <w:sz w:val="20"/>
                <w:szCs w:val="20"/>
              </w:rPr>
              <w:t>14,338,988,300.00</w:t>
            </w:r>
          </w:p>
        </w:tc>
      </w:tr>
      <w:tr w:rsidR="005B2A50" w14:paraId="6D967AB7" w14:textId="77777777" w:rsidTr="004B3C0F">
        <w:trPr>
          <w:trHeight w:val="276"/>
          <w:jc w:val="center"/>
        </w:trPr>
        <w:tc>
          <w:tcPr>
            <w:tcW w:w="3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5BF3936A"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26. Recursos Estatales</w:t>
            </w:r>
          </w:p>
        </w:tc>
        <w:tc>
          <w:tcPr>
            <w:tcW w:w="19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A6B3329" w14:textId="77777777" w:rsidR="005B2A50" w:rsidRDefault="005B2A50" w:rsidP="00411DA3">
            <w:pPr>
              <w:spacing w:line="254" w:lineRule="auto"/>
              <w:jc w:val="right"/>
              <w:rPr>
                <w:color w:val="000000"/>
                <w:sz w:val="20"/>
                <w:szCs w:val="20"/>
              </w:rPr>
            </w:pPr>
            <w:r>
              <w:rPr>
                <w:color w:val="000000"/>
                <w:sz w:val="20"/>
                <w:szCs w:val="20"/>
              </w:rPr>
              <w:t>0.00 </w:t>
            </w:r>
          </w:p>
        </w:tc>
      </w:tr>
      <w:tr w:rsidR="005B2A50" w14:paraId="37BD8A56" w14:textId="77777777" w:rsidTr="004B3C0F">
        <w:trPr>
          <w:trHeight w:val="276"/>
          <w:jc w:val="center"/>
        </w:trPr>
        <w:tc>
          <w:tcPr>
            <w:tcW w:w="3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40EEC1FB"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27. Otros Recursos de Transferencias Federales Etiquetadas</w:t>
            </w:r>
          </w:p>
        </w:tc>
        <w:tc>
          <w:tcPr>
            <w:tcW w:w="19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2948BA2" w14:textId="77777777" w:rsidR="005B2A50" w:rsidRDefault="005B2A50" w:rsidP="00411DA3">
            <w:pPr>
              <w:spacing w:line="254" w:lineRule="auto"/>
              <w:jc w:val="right"/>
              <w:rPr>
                <w:color w:val="000000"/>
                <w:sz w:val="20"/>
                <w:szCs w:val="20"/>
              </w:rPr>
            </w:pPr>
            <w:r>
              <w:rPr>
                <w:color w:val="000000"/>
                <w:sz w:val="20"/>
                <w:szCs w:val="20"/>
              </w:rPr>
              <w:t>0.00 </w:t>
            </w:r>
          </w:p>
        </w:tc>
      </w:tr>
      <w:tr w:rsidR="005B2A50" w14:paraId="50915845" w14:textId="77777777" w:rsidTr="004B3C0F">
        <w:trPr>
          <w:trHeight w:val="147"/>
          <w:jc w:val="center"/>
        </w:trPr>
        <w:tc>
          <w:tcPr>
            <w:tcW w:w="33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7D70DFD4" w14:textId="77777777" w:rsidR="005B2A50" w:rsidRDefault="005B2A50" w:rsidP="00411DA3">
            <w:pPr>
              <w:spacing w:line="360" w:lineRule="auto"/>
              <w:jc w:val="center"/>
              <w:rPr>
                <w:b/>
                <w:bCs/>
                <w:color w:val="000000"/>
                <w:sz w:val="20"/>
                <w:szCs w:val="20"/>
                <w:lang w:val="es-MX" w:eastAsia="es-MX"/>
              </w:rPr>
            </w:pPr>
            <w:r>
              <w:rPr>
                <w:b/>
                <w:bCs/>
                <w:color w:val="000000"/>
                <w:sz w:val="20"/>
                <w:szCs w:val="20"/>
                <w:lang w:val="es-MX" w:eastAsia="es-MX"/>
              </w:rPr>
              <w:t>TOTAL</w:t>
            </w:r>
          </w:p>
        </w:tc>
        <w:tc>
          <w:tcPr>
            <w:tcW w:w="19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6E47B901" w14:textId="77777777" w:rsidR="005B2A50" w:rsidRDefault="005B2A50" w:rsidP="00411DA3">
            <w:pPr>
              <w:spacing w:line="254" w:lineRule="auto"/>
              <w:jc w:val="right"/>
              <w:rPr>
                <w:b/>
                <w:bCs/>
                <w:color w:val="000000"/>
                <w:sz w:val="20"/>
                <w:szCs w:val="20"/>
              </w:rPr>
            </w:pPr>
            <w:r w:rsidRPr="009D1AFB">
              <w:rPr>
                <w:b/>
                <w:bCs/>
                <w:color w:val="000000"/>
                <w:sz w:val="20"/>
                <w:szCs w:val="20"/>
              </w:rPr>
              <w:t>29,129,883,393.00</w:t>
            </w:r>
          </w:p>
        </w:tc>
      </w:tr>
    </w:tbl>
    <w:p w14:paraId="72F4211C" w14:textId="77777777" w:rsidR="005B2A50" w:rsidRDefault="005B2A50" w:rsidP="005B2A50">
      <w:pPr>
        <w:spacing w:line="360" w:lineRule="auto"/>
        <w:rPr>
          <w:sz w:val="20"/>
          <w:szCs w:val="20"/>
        </w:rPr>
      </w:pPr>
    </w:p>
    <w:p w14:paraId="1AA72B68" w14:textId="77777777" w:rsidR="005B2A50" w:rsidRDefault="005B2A50" w:rsidP="005B2A50">
      <w:pPr>
        <w:spacing w:line="360" w:lineRule="auto"/>
        <w:rPr>
          <w:sz w:val="20"/>
          <w:szCs w:val="20"/>
        </w:rPr>
      </w:pPr>
      <w:r>
        <w:rPr>
          <w:sz w:val="20"/>
          <w:szCs w:val="20"/>
        </w:rPr>
        <w:t xml:space="preserve">En seguida se muestra a nivel </w:t>
      </w:r>
      <w:proofErr w:type="spellStart"/>
      <w:r>
        <w:rPr>
          <w:sz w:val="20"/>
          <w:szCs w:val="20"/>
        </w:rPr>
        <w:t>subfuente</w:t>
      </w:r>
      <w:proofErr w:type="spellEnd"/>
      <w:r>
        <w:rPr>
          <w:sz w:val="20"/>
          <w:szCs w:val="20"/>
        </w:rPr>
        <w:t xml:space="preserve"> de financiamiento: </w:t>
      </w:r>
    </w:p>
    <w:p w14:paraId="1A38EE8E" w14:textId="77777777" w:rsidR="005B2A50" w:rsidRDefault="005B2A50" w:rsidP="005B2A50">
      <w:pPr>
        <w:spacing w:line="360" w:lineRule="auto"/>
        <w:rPr>
          <w:sz w:val="20"/>
          <w:szCs w:val="20"/>
        </w:rPr>
      </w:pPr>
    </w:p>
    <w:tbl>
      <w:tblPr>
        <w:tblW w:w="59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265"/>
        <w:gridCol w:w="1640"/>
      </w:tblGrid>
      <w:tr w:rsidR="005B2A50" w14:paraId="74432593" w14:textId="77777777" w:rsidTr="00411DA3">
        <w:trPr>
          <w:trHeight w:val="300"/>
          <w:tblHeader/>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152472CA" w14:textId="77777777" w:rsidR="005B2A50" w:rsidRDefault="005B2A50" w:rsidP="00411DA3">
            <w:pPr>
              <w:spacing w:line="360" w:lineRule="auto"/>
              <w:jc w:val="center"/>
              <w:rPr>
                <w:b/>
                <w:bCs/>
                <w:color w:val="000000"/>
                <w:sz w:val="20"/>
                <w:szCs w:val="20"/>
                <w:lang w:val="es-MX" w:eastAsia="es-MX"/>
              </w:rPr>
            </w:pPr>
            <w:r>
              <w:rPr>
                <w:b/>
                <w:bCs/>
                <w:color w:val="000000"/>
                <w:sz w:val="20"/>
                <w:szCs w:val="20"/>
                <w:lang w:val="es-MX" w:eastAsia="es-MX"/>
              </w:rPr>
              <w:t>SUBFUENTE DE FINANCIAMIENTO</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32546183" w14:textId="77777777" w:rsidR="005B2A50" w:rsidRDefault="005B2A50" w:rsidP="00411DA3">
            <w:pPr>
              <w:spacing w:line="360" w:lineRule="auto"/>
              <w:jc w:val="center"/>
              <w:rPr>
                <w:b/>
                <w:bCs/>
                <w:color w:val="000000"/>
                <w:sz w:val="20"/>
                <w:szCs w:val="20"/>
                <w:lang w:val="es-MX" w:eastAsia="es-MX"/>
              </w:rPr>
            </w:pPr>
            <w:r>
              <w:rPr>
                <w:b/>
                <w:bCs/>
                <w:color w:val="000000"/>
                <w:sz w:val="20"/>
                <w:szCs w:val="20"/>
                <w:lang w:val="es-MX" w:eastAsia="es-MX"/>
              </w:rPr>
              <w:t xml:space="preserve">MONTO </w:t>
            </w:r>
          </w:p>
          <w:p w14:paraId="6A2DA5EB" w14:textId="77777777" w:rsidR="005B2A50" w:rsidRDefault="005B2A50" w:rsidP="00411DA3">
            <w:pPr>
              <w:spacing w:line="360" w:lineRule="auto"/>
              <w:jc w:val="center"/>
              <w:rPr>
                <w:b/>
                <w:bCs/>
                <w:color w:val="000000"/>
                <w:sz w:val="20"/>
                <w:szCs w:val="20"/>
                <w:lang w:val="es-MX" w:eastAsia="es-MX"/>
              </w:rPr>
            </w:pPr>
            <w:r>
              <w:rPr>
                <w:b/>
                <w:bCs/>
                <w:color w:val="000000"/>
                <w:sz w:val="20"/>
                <w:szCs w:val="20"/>
                <w:lang w:val="es-MX" w:eastAsia="es-MX"/>
              </w:rPr>
              <w:t>($)</w:t>
            </w:r>
          </w:p>
        </w:tc>
      </w:tr>
      <w:tr w:rsidR="005B2A50" w14:paraId="6472161A"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4F05663F"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Ingresos Derivados de Fuentes Locales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D3063D1" w14:textId="77777777" w:rsidR="005B2A50" w:rsidRDefault="005B2A50" w:rsidP="00411DA3">
            <w:pPr>
              <w:spacing w:line="254" w:lineRule="auto"/>
              <w:jc w:val="right"/>
              <w:rPr>
                <w:color w:val="000000"/>
                <w:sz w:val="20"/>
                <w:szCs w:val="20"/>
                <w:lang w:val="es-MX" w:eastAsia="es-MX"/>
              </w:rPr>
            </w:pPr>
            <w:r>
              <w:rPr>
                <w:color w:val="000000"/>
                <w:sz w:val="20"/>
                <w:szCs w:val="20"/>
              </w:rPr>
              <w:t>1,785,461,483.00</w:t>
            </w:r>
          </w:p>
        </w:tc>
      </w:tr>
      <w:tr w:rsidR="005B2A50" w14:paraId="21BC172A"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07C6C0BC"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Ingresos por Venta de Bienes de Organismos Descentralizados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EDCA53D" w14:textId="77777777" w:rsidR="005B2A50" w:rsidRDefault="005B2A50" w:rsidP="00411DA3">
            <w:pPr>
              <w:spacing w:line="254" w:lineRule="auto"/>
              <w:jc w:val="right"/>
              <w:rPr>
                <w:color w:val="000000"/>
                <w:sz w:val="20"/>
                <w:szCs w:val="20"/>
              </w:rPr>
            </w:pPr>
            <w:r>
              <w:rPr>
                <w:color w:val="000000"/>
                <w:sz w:val="20"/>
                <w:szCs w:val="20"/>
              </w:rPr>
              <w:t>172,727,322.00</w:t>
            </w:r>
          </w:p>
        </w:tc>
      </w:tr>
      <w:tr w:rsidR="005B2A50" w14:paraId="249F3D2D"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47D15F6E"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Fondo General de Participaciones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646C924" w14:textId="77777777" w:rsidR="005B2A50" w:rsidRDefault="005B2A50" w:rsidP="00411DA3">
            <w:pPr>
              <w:spacing w:line="254" w:lineRule="auto"/>
              <w:jc w:val="right"/>
              <w:rPr>
                <w:color w:val="000000"/>
                <w:sz w:val="20"/>
                <w:szCs w:val="20"/>
              </w:rPr>
            </w:pPr>
            <w:r>
              <w:rPr>
                <w:color w:val="000000"/>
                <w:sz w:val="20"/>
                <w:szCs w:val="20"/>
              </w:rPr>
              <w:t>9,839,578,837.00</w:t>
            </w:r>
          </w:p>
        </w:tc>
      </w:tr>
      <w:tr w:rsidR="005B2A50" w14:paraId="5035F4F1"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0BFAABB0"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Fondo de Compensación</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A99253A" w14:textId="77777777" w:rsidR="005B2A50" w:rsidRDefault="005B2A50" w:rsidP="00411DA3">
            <w:pPr>
              <w:spacing w:line="254" w:lineRule="auto"/>
              <w:jc w:val="right"/>
              <w:rPr>
                <w:color w:val="000000"/>
                <w:sz w:val="20"/>
                <w:szCs w:val="20"/>
              </w:rPr>
            </w:pPr>
            <w:r>
              <w:rPr>
                <w:color w:val="000000"/>
                <w:sz w:val="20"/>
                <w:szCs w:val="20"/>
              </w:rPr>
              <w:t>551,959,032.00</w:t>
            </w:r>
          </w:p>
        </w:tc>
      </w:tr>
      <w:tr w:rsidR="005B2A50" w14:paraId="6E5B0C4B"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41029758"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Incentivo para la Venta Final de Gasolina y Diesel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B74E3FC" w14:textId="77777777" w:rsidR="005B2A50" w:rsidRDefault="005B2A50" w:rsidP="00411DA3">
            <w:pPr>
              <w:spacing w:line="254" w:lineRule="auto"/>
              <w:jc w:val="right"/>
              <w:rPr>
                <w:color w:val="000000"/>
                <w:sz w:val="20"/>
                <w:szCs w:val="20"/>
              </w:rPr>
            </w:pPr>
            <w:r>
              <w:rPr>
                <w:color w:val="000000"/>
                <w:sz w:val="20"/>
                <w:szCs w:val="20"/>
              </w:rPr>
              <w:t>220,347,717.00</w:t>
            </w:r>
          </w:p>
        </w:tc>
      </w:tr>
      <w:tr w:rsidR="005B2A50" w14:paraId="334EE361"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35F3799B"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Fondo de Fomento Municipal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88CF990" w14:textId="77777777" w:rsidR="005B2A50" w:rsidRDefault="005B2A50" w:rsidP="00411DA3">
            <w:pPr>
              <w:spacing w:line="254" w:lineRule="auto"/>
              <w:jc w:val="right"/>
              <w:rPr>
                <w:color w:val="000000"/>
                <w:sz w:val="20"/>
                <w:szCs w:val="20"/>
              </w:rPr>
            </w:pPr>
            <w:r>
              <w:rPr>
                <w:color w:val="000000"/>
                <w:sz w:val="20"/>
                <w:szCs w:val="20"/>
              </w:rPr>
              <w:t>578,581,475.00</w:t>
            </w:r>
          </w:p>
        </w:tc>
      </w:tr>
      <w:tr w:rsidR="005B2A50" w14:paraId="0F3813F9"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7475C073"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Fondo ISR</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464EF2A" w14:textId="77777777" w:rsidR="005B2A50" w:rsidRDefault="005B2A50" w:rsidP="00411DA3">
            <w:pPr>
              <w:spacing w:line="254" w:lineRule="auto"/>
              <w:jc w:val="right"/>
              <w:rPr>
                <w:color w:val="000000"/>
                <w:sz w:val="20"/>
                <w:szCs w:val="20"/>
              </w:rPr>
            </w:pPr>
            <w:r>
              <w:rPr>
                <w:color w:val="000000"/>
                <w:sz w:val="20"/>
                <w:szCs w:val="20"/>
              </w:rPr>
              <w:t>691,743,668.00</w:t>
            </w:r>
          </w:p>
        </w:tc>
      </w:tr>
      <w:tr w:rsidR="005B2A50" w14:paraId="4F982798"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7562F8A4"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Impuesto Especial sobre Producción y Servicios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0E9ACD4" w14:textId="77777777" w:rsidR="005B2A50" w:rsidRDefault="005B2A50" w:rsidP="00411DA3">
            <w:pPr>
              <w:spacing w:line="254" w:lineRule="auto"/>
              <w:jc w:val="right"/>
              <w:rPr>
                <w:color w:val="000000"/>
                <w:sz w:val="20"/>
                <w:szCs w:val="20"/>
              </w:rPr>
            </w:pPr>
            <w:r>
              <w:rPr>
                <w:color w:val="000000"/>
                <w:sz w:val="20"/>
                <w:szCs w:val="20"/>
              </w:rPr>
              <w:t>94,556,425.00</w:t>
            </w:r>
          </w:p>
        </w:tc>
      </w:tr>
      <w:tr w:rsidR="005B2A50" w14:paraId="3E95863D"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1B33BF53"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Fondo de Fiscalización</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B3F831C" w14:textId="77777777" w:rsidR="005B2A50" w:rsidRDefault="005B2A50" w:rsidP="00411DA3">
            <w:pPr>
              <w:spacing w:line="254" w:lineRule="auto"/>
              <w:jc w:val="right"/>
              <w:rPr>
                <w:color w:val="000000"/>
                <w:sz w:val="20"/>
                <w:szCs w:val="20"/>
              </w:rPr>
            </w:pPr>
            <w:r>
              <w:rPr>
                <w:color w:val="000000"/>
                <w:sz w:val="20"/>
                <w:szCs w:val="20"/>
              </w:rPr>
              <w:t>701,307,490.00</w:t>
            </w:r>
          </w:p>
        </w:tc>
      </w:tr>
      <w:tr w:rsidR="005B2A50" w14:paraId="037474CD"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094BAD6D"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Fondo de Compensación ISAN</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748EB37" w14:textId="77777777" w:rsidR="005B2A50" w:rsidRDefault="005B2A50" w:rsidP="00411DA3">
            <w:pPr>
              <w:spacing w:line="254" w:lineRule="auto"/>
              <w:jc w:val="right"/>
              <w:rPr>
                <w:color w:val="000000"/>
                <w:sz w:val="20"/>
                <w:szCs w:val="20"/>
              </w:rPr>
            </w:pPr>
            <w:r>
              <w:rPr>
                <w:color w:val="000000"/>
                <w:sz w:val="20"/>
                <w:szCs w:val="20"/>
              </w:rPr>
              <w:t>12,906,810.00</w:t>
            </w:r>
          </w:p>
        </w:tc>
      </w:tr>
      <w:tr w:rsidR="005B2A50" w14:paraId="5251283A"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25B18B74"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 xml:space="preserve">Fondo </w:t>
            </w:r>
            <w:proofErr w:type="spellStart"/>
            <w:r>
              <w:rPr>
                <w:color w:val="000000"/>
                <w:sz w:val="20"/>
                <w:szCs w:val="20"/>
                <w:lang w:val="es-MX" w:eastAsia="es-MX"/>
              </w:rPr>
              <w:t>Repecos</w:t>
            </w:r>
            <w:proofErr w:type="spellEnd"/>
            <w:r>
              <w:rPr>
                <w:color w:val="000000"/>
                <w:sz w:val="20"/>
                <w:szCs w:val="20"/>
                <w:lang w:val="es-MX" w:eastAsia="es-MX"/>
              </w:rPr>
              <w:t xml:space="preserve"> e Intermedios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73FB6B6" w14:textId="77777777" w:rsidR="005B2A50" w:rsidRDefault="005B2A50" w:rsidP="00411DA3">
            <w:pPr>
              <w:spacing w:line="254" w:lineRule="auto"/>
              <w:jc w:val="right"/>
              <w:rPr>
                <w:color w:val="000000"/>
                <w:sz w:val="20"/>
                <w:szCs w:val="20"/>
              </w:rPr>
            </w:pPr>
            <w:r>
              <w:rPr>
                <w:color w:val="000000"/>
                <w:sz w:val="20"/>
                <w:szCs w:val="20"/>
              </w:rPr>
              <w:t>3,127,845.00</w:t>
            </w:r>
          </w:p>
        </w:tc>
      </w:tr>
      <w:tr w:rsidR="005B2A50" w14:paraId="3AA6FE95"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0E81172F"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Incentivos Derivados de Colaboración Fiscal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9631EF3" w14:textId="77777777" w:rsidR="005B2A50" w:rsidRDefault="005B2A50" w:rsidP="00411DA3">
            <w:pPr>
              <w:spacing w:line="254" w:lineRule="auto"/>
              <w:jc w:val="right"/>
              <w:rPr>
                <w:color w:val="000000"/>
                <w:sz w:val="20"/>
                <w:szCs w:val="20"/>
              </w:rPr>
            </w:pPr>
            <w:r>
              <w:rPr>
                <w:color w:val="000000"/>
                <w:sz w:val="20"/>
                <w:szCs w:val="20"/>
              </w:rPr>
              <w:t>138,596,989.00</w:t>
            </w:r>
          </w:p>
        </w:tc>
      </w:tr>
      <w:tr w:rsidR="005B2A50" w14:paraId="36E07861"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33817DB6" w14:textId="77777777" w:rsidR="005B2A50" w:rsidRDefault="005B2A50" w:rsidP="00411DA3">
            <w:pPr>
              <w:spacing w:line="360" w:lineRule="auto"/>
              <w:jc w:val="center"/>
              <w:rPr>
                <w:b/>
                <w:bCs/>
                <w:color w:val="000000"/>
                <w:sz w:val="20"/>
                <w:szCs w:val="20"/>
                <w:lang w:val="es-MX" w:eastAsia="es-MX"/>
              </w:rPr>
            </w:pPr>
            <w:r>
              <w:rPr>
                <w:b/>
                <w:bCs/>
                <w:color w:val="000000"/>
                <w:sz w:val="20"/>
                <w:szCs w:val="20"/>
                <w:lang w:val="es-MX" w:eastAsia="es-MX"/>
              </w:rPr>
              <w:lastRenderedPageBreak/>
              <w:t>SUBTOTAL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09C071F5" w14:textId="77777777" w:rsidR="005B2A50" w:rsidRDefault="005B2A50" w:rsidP="00411DA3">
            <w:pPr>
              <w:spacing w:line="254" w:lineRule="auto"/>
              <w:jc w:val="right"/>
              <w:rPr>
                <w:b/>
                <w:bCs/>
                <w:color w:val="000000"/>
                <w:sz w:val="20"/>
                <w:szCs w:val="20"/>
              </w:rPr>
            </w:pPr>
            <w:r w:rsidRPr="009D1AFB">
              <w:rPr>
                <w:b/>
                <w:bCs/>
                <w:color w:val="000000"/>
                <w:sz w:val="20"/>
                <w:szCs w:val="20"/>
              </w:rPr>
              <w:t>14,790,895,093.00</w:t>
            </w:r>
          </w:p>
        </w:tc>
      </w:tr>
      <w:tr w:rsidR="005B2A50" w14:paraId="2BDC6B70"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14:paraId="5C76F9CD" w14:textId="77777777" w:rsidR="005B2A50" w:rsidRDefault="005B2A50" w:rsidP="00411DA3">
            <w:pPr>
              <w:spacing w:line="360" w:lineRule="auto"/>
              <w:rPr>
                <w:color w:val="000000"/>
                <w:sz w:val="20"/>
                <w:szCs w:val="20"/>
                <w:lang w:val="es-MX" w:eastAsia="es-MX"/>
              </w:rPr>
            </w:pPr>
            <w:r>
              <w:rPr>
                <w:color w:val="000000"/>
                <w:sz w:val="20"/>
                <w:szCs w:val="20"/>
                <w:lang w:val="es-MX" w:eastAsia="es-MX"/>
              </w:rPr>
              <w:t>Aportaciones Federales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B5A2222" w14:textId="77777777" w:rsidR="005B2A50" w:rsidRDefault="005B2A50" w:rsidP="00411DA3">
            <w:pPr>
              <w:spacing w:line="254" w:lineRule="auto"/>
              <w:jc w:val="right"/>
              <w:rPr>
                <w:color w:val="000000"/>
                <w:sz w:val="20"/>
                <w:szCs w:val="20"/>
              </w:rPr>
            </w:pPr>
            <w:r w:rsidRPr="009D1AFB">
              <w:rPr>
                <w:color w:val="000000"/>
                <w:sz w:val="20"/>
                <w:szCs w:val="20"/>
              </w:rPr>
              <w:t>14,338,988,300.00</w:t>
            </w:r>
          </w:p>
        </w:tc>
      </w:tr>
      <w:tr w:rsidR="005B2A50" w14:paraId="44B2A51C" w14:textId="77777777" w:rsidTr="00411DA3">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2126F8B" w14:textId="77777777" w:rsidR="005B2A50" w:rsidRDefault="005B2A50" w:rsidP="00411DA3">
            <w:pPr>
              <w:spacing w:line="360" w:lineRule="auto"/>
              <w:jc w:val="center"/>
              <w:rPr>
                <w:b/>
                <w:bCs/>
                <w:color w:val="000000"/>
                <w:sz w:val="20"/>
                <w:szCs w:val="20"/>
                <w:lang w:val="es-MX" w:eastAsia="es-MX"/>
              </w:rPr>
            </w:pPr>
            <w:r>
              <w:rPr>
                <w:b/>
                <w:bCs/>
                <w:color w:val="000000"/>
                <w:sz w:val="20"/>
                <w:szCs w:val="20"/>
                <w:lang w:val="es-MX" w:eastAsia="es-MX"/>
              </w:rPr>
              <w:t>TOTAL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584E08C0" w14:textId="77777777" w:rsidR="005B2A50" w:rsidRDefault="005B2A50" w:rsidP="00411DA3">
            <w:pPr>
              <w:spacing w:line="254" w:lineRule="auto"/>
              <w:jc w:val="right"/>
              <w:rPr>
                <w:b/>
                <w:bCs/>
                <w:color w:val="000000"/>
                <w:sz w:val="20"/>
                <w:szCs w:val="20"/>
              </w:rPr>
            </w:pPr>
            <w:r w:rsidRPr="009D1AFB">
              <w:rPr>
                <w:b/>
                <w:bCs/>
                <w:color w:val="000000"/>
                <w:sz w:val="20"/>
                <w:szCs w:val="20"/>
              </w:rPr>
              <w:t>29,129,883,393.00</w:t>
            </w:r>
          </w:p>
        </w:tc>
      </w:tr>
    </w:tbl>
    <w:p w14:paraId="14750A93" w14:textId="77777777" w:rsidR="005B2A50" w:rsidRDefault="005B2A50" w:rsidP="005B2A50">
      <w:pPr>
        <w:spacing w:line="360" w:lineRule="auto"/>
        <w:rPr>
          <w:sz w:val="20"/>
          <w:szCs w:val="20"/>
        </w:rPr>
      </w:pPr>
    </w:p>
    <w:p w14:paraId="6923765A" w14:textId="77777777" w:rsidR="005B2A50" w:rsidRDefault="005B2A50" w:rsidP="005B2A50">
      <w:pPr>
        <w:spacing w:line="360" w:lineRule="auto"/>
        <w:rPr>
          <w:sz w:val="20"/>
          <w:szCs w:val="20"/>
        </w:rPr>
      </w:pPr>
    </w:p>
    <w:p w14:paraId="10804971" w14:textId="77777777" w:rsidR="005B2A50" w:rsidRDefault="005B2A50" w:rsidP="005B2A50">
      <w:pPr>
        <w:spacing w:after="200" w:line="360" w:lineRule="auto"/>
        <w:jc w:val="center"/>
        <w:rPr>
          <w:rFonts w:eastAsia="Calibri"/>
          <w:b/>
          <w:sz w:val="20"/>
          <w:szCs w:val="20"/>
        </w:rPr>
      </w:pPr>
      <w:r>
        <w:rPr>
          <w:rFonts w:eastAsia="Calibri"/>
          <w:b/>
          <w:sz w:val="20"/>
          <w:szCs w:val="20"/>
        </w:rPr>
        <w:t>PRESUPUESTO POR RAMO</w:t>
      </w:r>
    </w:p>
    <w:p w14:paraId="248E395D" w14:textId="77777777" w:rsidR="005B2A50" w:rsidRDefault="005B2A50" w:rsidP="005B2A50">
      <w:pPr>
        <w:spacing w:after="200" w:line="360" w:lineRule="auto"/>
        <w:jc w:val="both"/>
        <w:rPr>
          <w:rFonts w:eastAsia="Calibri"/>
          <w:sz w:val="20"/>
          <w:szCs w:val="20"/>
        </w:rPr>
      </w:pPr>
      <w:r>
        <w:rPr>
          <w:rFonts w:eastAsia="Calibri"/>
          <w:sz w:val="20"/>
          <w:szCs w:val="20"/>
        </w:rPr>
        <w:t>El Proyecto de Decreto de Presupuesto de Egresos del Estado de Tlaxcala para el ejercicio fiscal 2025, distribuido por Ramo, se integra como sigue:</w:t>
      </w:r>
    </w:p>
    <w:tbl>
      <w:tblPr>
        <w:tblW w:w="5083" w:type="pct"/>
        <w:tblCellMar>
          <w:left w:w="70" w:type="dxa"/>
          <w:right w:w="70" w:type="dxa"/>
        </w:tblCellMar>
        <w:tblLook w:val="04A0" w:firstRow="1" w:lastRow="0" w:firstColumn="1" w:lastColumn="0" w:noHBand="0" w:noVBand="1"/>
      </w:tblPr>
      <w:tblGrid>
        <w:gridCol w:w="1904"/>
        <w:gridCol w:w="364"/>
        <w:gridCol w:w="1819"/>
        <w:gridCol w:w="308"/>
        <w:gridCol w:w="1819"/>
        <w:gridCol w:w="417"/>
        <w:gridCol w:w="1651"/>
      </w:tblGrid>
      <w:tr w:rsidR="005B2A50" w14:paraId="26B51E2C" w14:textId="77777777" w:rsidTr="00411DA3">
        <w:trPr>
          <w:trHeight w:val="475"/>
          <w:tblHeader/>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7F3B58EF" w14:textId="77777777" w:rsidR="005B2A50" w:rsidRDefault="005B2A50" w:rsidP="00411DA3">
            <w:pPr>
              <w:spacing w:line="360" w:lineRule="auto"/>
              <w:jc w:val="center"/>
              <w:rPr>
                <w:b/>
                <w:bCs/>
                <w:sz w:val="20"/>
                <w:szCs w:val="20"/>
                <w:lang w:eastAsia="es-MX"/>
              </w:rPr>
            </w:pPr>
            <w:r>
              <w:rPr>
                <w:b/>
                <w:bCs/>
                <w:sz w:val="20"/>
                <w:szCs w:val="20"/>
                <w:lang w:eastAsia="es-MX"/>
              </w:rPr>
              <w:t>RAMO</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22CFB2DA" w14:textId="77777777" w:rsidR="005B2A50" w:rsidRDefault="005B2A50" w:rsidP="00411DA3">
            <w:pPr>
              <w:rPr>
                <w:b/>
                <w:bCs/>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150D0993" w14:textId="77777777" w:rsidR="005B2A50" w:rsidRDefault="005B2A50" w:rsidP="00411DA3">
            <w:pPr>
              <w:spacing w:line="360" w:lineRule="auto"/>
              <w:jc w:val="center"/>
              <w:rPr>
                <w:b/>
                <w:bCs/>
                <w:color w:val="000000"/>
                <w:sz w:val="20"/>
                <w:szCs w:val="20"/>
              </w:rPr>
            </w:pPr>
            <w:r>
              <w:rPr>
                <w:b/>
                <w:bCs/>
                <w:color w:val="000000"/>
                <w:sz w:val="20"/>
                <w:szCs w:val="20"/>
              </w:rPr>
              <w:t>ESTATAL</w:t>
            </w:r>
          </w:p>
          <w:p w14:paraId="3034FE9B" w14:textId="77777777" w:rsidR="005B2A50" w:rsidRDefault="005B2A50" w:rsidP="00411DA3">
            <w:pPr>
              <w:spacing w:line="360" w:lineRule="auto"/>
              <w:jc w:val="center"/>
              <w:rPr>
                <w:b/>
                <w:bCs/>
                <w:color w:val="000000"/>
                <w:sz w:val="20"/>
                <w:szCs w:val="20"/>
                <w:lang w:val="es-MX" w:eastAsia="es-MX"/>
              </w:rPr>
            </w:pPr>
            <w:r>
              <w:rPr>
                <w:b/>
                <w:bCs/>
                <w:color w:val="000000"/>
                <w:sz w:val="20"/>
                <w:szCs w:val="20"/>
              </w:rPr>
              <w:t>($)</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7C184E9B" w14:textId="77777777" w:rsidR="005B2A50" w:rsidRDefault="005B2A50" w:rsidP="00411DA3">
            <w:pPr>
              <w:rPr>
                <w:b/>
                <w:bCs/>
                <w:color w:val="000000"/>
                <w:sz w:val="20"/>
                <w:szCs w:val="20"/>
                <w:lang w:val="es-MX"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4B8C8964" w14:textId="77777777" w:rsidR="005B2A50" w:rsidRDefault="005B2A50" w:rsidP="00411DA3">
            <w:pPr>
              <w:spacing w:line="360" w:lineRule="auto"/>
              <w:jc w:val="center"/>
              <w:rPr>
                <w:b/>
                <w:bCs/>
                <w:color w:val="000000"/>
                <w:sz w:val="20"/>
                <w:szCs w:val="20"/>
              </w:rPr>
            </w:pPr>
            <w:r>
              <w:rPr>
                <w:b/>
                <w:bCs/>
                <w:color w:val="000000"/>
                <w:sz w:val="20"/>
                <w:szCs w:val="20"/>
              </w:rPr>
              <w:t>APORTACIONES FEDERALES</w:t>
            </w:r>
          </w:p>
          <w:p w14:paraId="697FAF8C" w14:textId="77777777" w:rsidR="005B2A50" w:rsidRDefault="005B2A50" w:rsidP="00411DA3">
            <w:pPr>
              <w:spacing w:line="360" w:lineRule="auto"/>
              <w:jc w:val="center"/>
              <w:rPr>
                <w:b/>
                <w:bCs/>
                <w:color w:val="000000"/>
                <w:sz w:val="20"/>
                <w:szCs w:val="20"/>
                <w:lang w:val="es-MX" w:eastAsia="es-MX"/>
              </w:rPr>
            </w:pPr>
            <w:r>
              <w:rPr>
                <w:b/>
                <w:bCs/>
                <w:color w:val="000000"/>
                <w:sz w:val="20"/>
                <w:szCs w:val="20"/>
              </w:rPr>
              <w:t>($)</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627E6F1D" w14:textId="77777777" w:rsidR="005B2A50" w:rsidRDefault="005B2A50" w:rsidP="00411DA3">
            <w:pPr>
              <w:rPr>
                <w:b/>
                <w:bCs/>
                <w:color w:val="000000"/>
                <w:sz w:val="20"/>
                <w:szCs w:val="20"/>
                <w:lang w:val="es-MX"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2779A2E6" w14:textId="77777777" w:rsidR="005B2A50" w:rsidRDefault="005B2A50" w:rsidP="00411DA3">
            <w:pPr>
              <w:spacing w:line="360" w:lineRule="auto"/>
              <w:jc w:val="center"/>
              <w:rPr>
                <w:b/>
                <w:bCs/>
                <w:color w:val="000000"/>
                <w:sz w:val="20"/>
                <w:szCs w:val="20"/>
              </w:rPr>
            </w:pPr>
            <w:r>
              <w:rPr>
                <w:b/>
                <w:bCs/>
                <w:color w:val="000000"/>
                <w:sz w:val="20"/>
                <w:szCs w:val="20"/>
              </w:rPr>
              <w:t>TOTAL</w:t>
            </w:r>
          </w:p>
          <w:p w14:paraId="006B1299" w14:textId="77777777" w:rsidR="005B2A50" w:rsidRDefault="005B2A50" w:rsidP="00411DA3">
            <w:pPr>
              <w:spacing w:line="360" w:lineRule="auto"/>
              <w:jc w:val="center"/>
              <w:rPr>
                <w:b/>
                <w:bCs/>
                <w:color w:val="000000"/>
                <w:sz w:val="20"/>
                <w:szCs w:val="20"/>
                <w:lang w:val="es-MX" w:eastAsia="es-MX"/>
              </w:rPr>
            </w:pPr>
            <w:r>
              <w:rPr>
                <w:b/>
                <w:bCs/>
                <w:color w:val="000000"/>
                <w:sz w:val="20"/>
                <w:szCs w:val="20"/>
              </w:rPr>
              <w:t>($)</w:t>
            </w:r>
          </w:p>
        </w:tc>
      </w:tr>
      <w:tr w:rsidR="005B2A50" w14:paraId="56BCE7A8" w14:textId="77777777" w:rsidTr="00411DA3">
        <w:trPr>
          <w:trHeight w:val="214"/>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D53465F" w14:textId="77777777" w:rsidR="005B2A50" w:rsidRDefault="005B2A50" w:rsidP="00411DA3">
            <w:pPr>
              <w:spacing w:line="360" w:lineRule="auto"/>
              <w:jc w:val="both"/>
              <w:rPr>
                <w:sz w:val="20"/>
                <w:szCs w:val="20"/>
                <w:lang w:eastAsia="es-MX"/>
              </w:rPr>
            </w:pPr>
            <w:r>
              <w:rPr>
                <w:sz w:val="20"/>
                <w:szCs w:val="20"/>
                <w:lang w:eastAsia="es-MX"/>
              </w:rPr>
              <w:t>Poder Legislativo</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4EBF54F5" w14:textId="77777777" w:rsidR="005B2A50" w:rsidRDefault="005B2A50" w:rsidP="00411DA3">
            <w:pPr>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D2B242B" w14:textId="77777777" w:rsidR="005B2A50" w:rsidRDefault="005B2A50" w:rsidP="00411DA3">
            <w:pPr>
              <w:spacing w:line="254" w:lineRule="auto"/>
              <w:jc w:val="right"/>
              <w:rPr>
                <w:color w:val="000000"/>
                <w:sz w:val="20"/>
                <w:szCs w:val="20"/>
                <w:lang w:val="es-MX" w:eastAsia="es-MX"/>
              </w:rPr>
            </w:pPr>
            <w:r>
              <w:rPr>
                <w:color w:val="000000"/>
                <w:sz w:val="20"/>
                <w:szCs w:val="20"/>
              </w:rPr>
              <w:t>474,419,942.00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1B1749A9" w14:textId="77777777" w:rsidR="005B2A50" w:rsidRDefault="005B2A50" w:rsidP="00411DA3">
            <w:pPr>
              <w:rPr>
                <w:color w:val="000000"/>
                <w:sz w:val="20"/>
                <w:szCs w:val="20"/>
                <w:lang w:val="es-MX"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771892C" w14:textId="77777777" w:rsidR="005B2A50" w:rsidRDefault="005B2A50" w:rsidP="00411DA3">
            <w:pPr>
              <w:spacing w:line="254" w:lineRule="auto"/>
              <w:jc w:val="right"/>
              <w:rPr>
                <w:color w:val="000000"/>
                <w:sz w:val="20"/>
                <w:szCs w:val="20"/>
                <w:lang w:val="es-MX" w:eastAsia="es-MX"/>
              </w:rPr>
            </w:pPr>
            <w:r>
              <w:rPr>
                <w:color w:val="000000"/>
                <w:sz w:val="20"/>
                <w:szCs w:val="20"/>
              </w:rPr>
              <w:t>0.00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09A84058" w14:textId="77777777" w:rsidR="005B2A50" w:rsidRDefault="005B2A50" w:rsidP="00411DA3">
            <w:pPr>
              <w:rPr>
                <w:color w:val="000000"/>
                <w:sz w:val="20"/>
                <w:szCs w:val="20"/>
                <w:lang w:val="es-MX"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6B91DE7" w14:textId="77777777" w:rsidR="005B2A50" w:rsidRDefault="005B2A50" w:rsidP="00411DA3">
            <w:pPr>
              <w:spacing w:line="254" w:lineRule="auto"/>
              <w:jc w:val="right"/>
              <w:rPr>
                <w:color w:val="000000"/>
                <w:sz w:val="20"/>
                <w:szCs w:val="20"/>
                <w:lang w:val="es-MX" w:eastAsia="es-MX"/>
              </w:rPr>
            </w:pPr>
            <w:r>
              <w:rPr>
                <w:color w:val="000000"/>
                <w:sz w:val="20"/>
                <w:szCs w:val="20"/>
              </w:rPr>
              <w:t>474,419,942.00</w:t>
            </w:r>
          </w:p>
        </w:tc>
      </w:tr>
      <w:tr w:rsidR="005B2A50" w14:paraId="41B681EC" w14:textId="77777777" w:rsidTr="00411DA3">
        <w:trPr>
          <w:trHeight w:val="147"/>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80FEF79" w14:textId="77777777" w:rsidR="005B2A50" w:rsidRDefault="005B2A50" w:rsidP="00411DA3">
            <w:pPr>
              <w:spacing w:line="360" w:lineRule="auto"/>
              <w:jc w:val="both"/>
              <w:rPr>
                <w:sz w:val="20"/>
                <w:szCs w:val="20"/>
                <w:lang w:eastAsia="es-MX"/>
              </w:rPr>
            </w:pPr>
            <w:r>
              <w:rPr>
                <w:sz w:val="20"/>
                <w:szCs w:val="20"/>
                <w:lang w:eastAsia="es-MX"/>
              </w:rPr>
              <w:t>Poder Judicial</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0662CDD3" w14:textId="77777777" w:rsidR="005B2A50" w:rsidRDefault="005B2A50" w:rsidP="00411DA3">
            <w:pPr>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77EDB77" w14:textId="77777777" w:rsidR="005B2A50" w:rsidRDefault="005B2A50" w:rsidP="00411DA3">
            <w:pPr>
              <w:spacing w:line="254" w:lineRule="auto"/>
              <w:jc w:val="right"/>
              <w:rPr>
                <w:color w:val="000000"/>
                <w:sz w:val="20"/>
                <w:szCs w:val="20"/>
              </w:rPr>
            </w:pPr>
            <w:r>
              <w:rPr>
                <w:color w:val="000000"/>
                <w:sz w:val="20"/>
                <w:szCs w:val="20"/>
              </w:rPr>
              <w:t>515,903,410.00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78B62677" w14:textId="77777777" w:rsidR="005B2A50" w:rsidRDefault="005B2A50" w:rsidP="00411DA3">
            <w:pPr>
              <w:rPr>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EEE92F2" w14:textId="77777777" w:rsidR="005B2A50" w:rsidRDefault="005B2A50" w:rsidP="00411DA3">
            <w:pPr>
              <w:spacing w:line="254" w:lineRule="auto"/>
              <w:jc w:val="right"/>
              <w:rPr>
                <w:color w:val="000000"/>
                <w:sz w:val="20"/>
                <w:szCs w:val="20"/>
              </w:rPr>
            </w:pPr>
            <w:r>
              <w:rPr>
                <w:color w:val="000000"/>
                <w:sz w:val="20"/>
                <w:szCs w:val="20"/>
              </w:rPr>
              <w:t>0.00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21884786" w14:textId="77777777" w:rsidR="005B2A50" w:rsidRDefault="005B2A50" w:rsidP="00411DA3">
            <w:pPr>
              <w:rPr>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42CB208" w14:textId="77777777" w:rsidR="005B2A50" w:rsidRDefault="005B2A50" w:rsidP="00411DA3">
            <w:pPr>
              <w:spacing w:line="254" w:lineRule="auto"/>
              <w:jc w:val="right"/>
              <w:rPr>
                <w:color w:val="000000"/>
                <w:sz w:val="20"/>
                <w:szCs w:val="20"/>
              </w:rPr>
            </w:pPr>
            <w:r>
              <w:rPr>
                <w:color w:val="000000"/>
                <w:sz w:val="20"/>
                <w:szCs w:val="20"/>
              </w:rPr>
              <w:t>515,903,410.00</w:t>
            </w:r>
          </w:p>
        </w:tc>
      </w:tr>
      <w:tr w:rsidR="005B2A50" w14:paraId="7DB70313" w14:textId="77777777" w:rsidTr="00411DA3">
        <w:trPr>
          <w:trHeight w:val="70"/>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1A30A3D" w14:textId="77777777" w:rsidR="005B2A50" w:rsidRDefault="005B2A50" w:rsidP="00411DA3">
            <w:pPr>
              <w:spacing w:line="360" w:lineRule="auto"/>
              <w:jc w:val="both"/>
              <w:rPr>
                <w:sz w:val="20"/>
                <w:szCs w:val="20"/>
                <w:lang w:eastAsia="es-MX"/>
              </w:rPr>
            </w:pPr>
            <w:r>
              <w:rPr>
                <w:sz w:val="20"/>
                <w:szCs w:val="20"/>
                <w:lang w:eastAsia="es-MX"/>
              </w:rPr>
              <w:t>Órganos Autónomos</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36CC6EEC" w14:textId="77777777" w:rsidR="005B2A50" w:rsidRDefault="005B2A50" w:rsidP="00411DA3">
            <w:pPr>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BC82661" w14:textId="77777777" w:rsidR="005B2A50" w:rsidRDefault="005B2A50" w:rsidP="00411DA3">
            <w:pPr>
              <w:spacing w:line="254" w:lineRule="auto"/>
              <w:jc w:val="right"/>
              <w:rPr>
                <w:color w:val="000000"/>
                <w:sz w:val="20"/>
                <w:szCs w:val="20"/>
              </w:rPr>
            </w:pPr>
            <w:r>
              <w:rPr>
                <w:color w:val="000000"/>
                <w:sz w:val="20"/>
                <w:szCs w:val="20"/>
              </w:rPr>
              <w:t>967,471,773.00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28753E7E" w14:textId="77777777" w:rsidR="005B2A50" w:rsidRDefault="005B2A50" w:rsidP="00411DA3">
            <w:pPr>
              <w:rPr>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4EB26CA" w14:textId="77777777" w:rsidR="005B2A50" w:rsidRDefault="005B2A50" w:rsidP="00411DA3">
            <w:pPr>
              <w:spacing w:line="254" w:lineRule="auto"/>
              <w:jc w:val="right"/>
              <w:rPr>
                <w:color w:val="000000"/>
                <w:sz w:val="20"/>
                <w:szCs w:val="20"/>
              </w:rPr>
            </w:pPr>
            <w:r>
              <w:rPr>
                <w:color w:val="000000"/>
                <w:sz w:val="20"/>
                <w:szCs w:val="20"/>
              </w:rPr>
              <w:t>0.00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3C3BE402" w14:textId="77777777" w:rsidR="005B2A50" w:rsidRDefault="005B2A50" w:rsidP="00411DA3">
            <w:pPr>
              <w:rPr>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0A6E549" w14:textId="77777777" w:rsidR="005B2A50" w:rsidRDefault="005B2A50" w:rsidP="00411DA3">
            <w:pPr>
              <w:spacing w:line="254" w:lineRule="auto"/>
              <w:jc w:val="right"/>
              <w:rPr>
                <w:color w:val="000000"/>
                <w:sz w:val="20"/>
                <w:szCs w:val="20"/>
              </w:rPr>
            </w:pPr>
            <w:r>
              <w:rPr>
                <w:color w:val="000000"/>
                <w:sz w:val="20"/>
                <w:szCs w:val="20"/>
              </w:rPr>
              <w:t>967,471,773.00</w:t>
            </w:r>
          </w:p>
        </w:tc>
      </w:tr>
      <w:tr w:rsidR="005B2A50" w14:paraId="7A0BF185" w14:textId="77777777" w:rsidTr="00411DA3">
        <w:trPr>
          <w:trHeight w:val="216"/>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0FDDCC5" w14:textId="77777777" w:rsidR="005B2A50" w:rsidRDefault="005B2A50" w:rsidP="00411DA3">
            <w:pPr>
              <w:spacing w:line="360" w:lineRule="auto"/>
              <w:jc w:val="both"/>
              <w:rPr>
                <w:sz w:val="20"/>
                <w:szCs w:val="20"/>
                <w:lang w:eastAsia="es-MX"/>
              </w:rPr>
            </w:pPr>
            <w:r>
              <w:rPr>
                <w:sz w:val="20"/>
                <w:szCs w:val="20"/>
                <w:lang w:eastAsia="es-MX"/>
              </w:rPr>
              <w:t>Poder Ejecutivo</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560B6EEC" w14:textId="77777777" w:rsidR="005B2A50" w:rsidRDefault="005B2A50" w:rsidP="00411DA3">
            <w:pPr>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FAB293B" w14:textId="77777777" w:rsidR="005B2A50" w:rsidRDefault="005B2A50" w:rsidP="00411DA3">
            <w:pPr>
              <w:spacing w:line="254" w:lineRule="auto"/>
              <w:jc w:val="right"/>
              <w:rPr>
                <w:color w:val="000000"/>
                <w:sz w:val="20"/>
                <w:szCs w:val="20"/>
              </w:rPr>
            </w:pPr>
            <w:r>
              <w:rPr>
                <w:color w:val="000000"/>
                <w:sz w:val="20"/>
                <w:szCs w:val="20"/>
              </w:rPr>
              <w:t>9,861,821,914.00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34597993" w14:textId="77777777" w:rsidR="005B2A50" w:rsidRDefault="005B2A50" w:rsidP="00411DA3">
            <w:pPr>
              <w:rPr>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799DEA2" w14:textId="77777777" w:rsidR="005B2A50" w:rsidRDefault="005B2A50" w:rsidP="00411DA3">
            <w:pPr>
              <w:spacing w:line="254" w:lineRule="auto"/>
              <w:jc w:val="right"/>
              <w:rPr>
                <w:color w:val="000000"/>
                <w:sz w:val="20"/>
                <w:szCs w:val="20"/>
              </w:rPr>
            </w:pPr>
            <w:r>
              <w:rPr>
                <w:color w:val="000000"/>
                <w:sz w:val="20"/>
                <w:szCs w:val="20"/>
              </w:rPr>
              <w:t>11,823,752,032.00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14FECBB7" w14:textId="77777777" w:rsidR="005B2A50" w:rsidRDefault="005B2A50" w:rsidP="00411DA3">
            <w:pPr>
              <w:rPr>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DD9DD50" w14:textId="77777777" w:rsidR="005B2A50" w:rsidRDefault="005B2A50" w:rsidP="00411DA3">
            <w:pPr>
              <w:spacing w:line="254" w:lineRule="auto"/>
              <w:jc w:val="right"/>
              <w:rPr>
                <w:color w:val="000000"/>
                <w:sz w:val="20"/>
                <w:szCs w:val="20"/>
              </w:rPr>
            </w:pPr>
            <w:r>
              <w:rPr>
                <w:color w:val="000000"/>
                <w:sz w:val="20"/>
                <w:szCs w:val="20"/>
              </w:rPr>
              <w:t>21,685,573,946.00</w:t>
            </w:r>
          </w:p>
        </w:tc>
      </w:tr>
      <w:tr w:rsidR="005B2A50" w14:paraId="0D59D801" w14:textId="77777777" w:rsidTr="00411DA3">
        <w:trPr>
          <w:trHeight w:val="414"/>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73D62A5" w14:textId="77777777" w:rsidR="005B2A50" w:rsidRDefault="005B2A50" w:rsidP="00411DA3">
            <w:pPr>
              <w:spacing w:line="360" w:lineRule="auto"/>
              <w:jc w:val="both"/>
              <w:rPr>
                <w:sz w:val="20"/>
                <w:szCs w:val="20"/>
                <w:lang w:eastAsia="es-MX"/>
              </w:rPr>
            </w:pPr>
            <w:r>
              <w:rPr>
                <w:sz w:val="20"/>
                <w:szCs w:val="20"/>
                <w:lang w:eastAsia="es-MX"/>
              </w:rPr>
              <w:t>Municipios</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48FE1A00" w14:textId="77777777" w:rsidR="005B2A50" w:rsidRDefault="005B2A50" w:rsidP="00411DA3">
            <w:pPr>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7384578" w14:textId="77777777" w:rsidR="005B2A50" w:rsidRDefault="005B2A50" w:rsidP="00411DA3">
            <w:pPr>
              <w:spacing w:line="254" w:lineRule="auto"/>
              <w:jc w:val="right"/>
              <w:rPr>
                <w:color w:val="000000"/>
                <w:sz w:val="20"/>
                <w:szCs w:val="20"/>
              </w:rPr>
            </w:pPr>
            <w:r>
              <w:rPr>
                <w:color w:val="000000"/>
                <w:sz w:val="20"/>
                <w:szCs w:val="20"/>
              </w:rPr>
              <w:t>2,971,278,054.00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24CDF3C6" w14:textId="77777777" w:rsidR="005B2A50" w:rsidRDefault="005B2A50" w:rsidP="00411DA3">
            <w:pPr>
              <w:rPr>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C0DAAFB" w14:textId="77777777" w:rsidR="005B2A50" w:rsidRDefault="005B2A50" w:rsidP="00411DA3">
            <w:pPr>
              <w:spacing w:line="254" w:lineRule="auto"/>
              <w:jc w:val="right"/>
              <w:rPr>
                <w:color w:val="000000"/>
                <w:sz w:val="20"/>
                <w:szCs w:val="20"/>
              </w:rPr>
            </w:pPr>
            <w:r>
              <w:rPr>
                <w:color w:val="000000"/>
                <w:sz w:val="20"/>
                <w:szCs w:val="20"/>
              </w:rPr>
              <w:t>2,515,236,268.00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03650D91" w14:textId="77777777" w:rsidR="005B2A50" w:rsidRDefault="005B2A50" w:rsidP="00411DA3">
            <w:pPr>
              <w:rPr>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6C637DC" w14:textId="77777777" w:rsidR="005B2A50" w:rsidRDefault="005B2A50" w:rsidP="00411DA3">
            <w:pPr>
              <w:spacing w:line="254" w:lineRule="auto"/>
              <w:jc w:val="right"/>
              <w:rPr>
                <w:color w:val="000000"/>
                <w:sz w:val="20"/>
                <w:szCs w:val="20"/>
              </w:rPr>
            </w:pPr>
            <w:r>
              <w:rPr>
                <w:color w:val="000000"/>
                <w:sz w:val="20"/>
                <w:szCs w:val="20"/>
              </w:rPr>
              <w:t>5,486,514,322.00</w:t>
            </w:r>
          </w:p>
        </w:tc>
      </w:tr>
      <w:tr w:rsidR="005B2A50" w14:paraId="2B82B8BD" w14:textId="77777777" w:rsidTr="00411DA3">
        <w:trPr>
          <w:trHeight w:val="330"/>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4AC0531D" w14:textId="77777777" w:rsidR="005B2A50" w:rsidRDefault="005B2A50" w:rsidP="00411DA3">
            <w:pPr>
              <w:spacing w:line="360" w:lineRule="auto"/>
              <w:jc w:val="center"/>
              <w:rPr>
                <w:b/>
                <w:bCs/>
                <w:sz w:val="20"/>
                <w:szCs w:val="20"/>
                <w:lang w:eastAsia="es-MX"/>
              </w:rPr>
            </w:pPr>
            <w:r>
              <w:rPr>
                <w:b/>
                <w:bCs/>
                <w:sz w:val="20"/>
                <w:szCs w:val="20"/>
                <w:lang w:eastAsia="es-MX"/>
              </w:rPr>
              <w:t>TOTAL</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14:paraId="4F415494" w14:textId="77777777" w:rsidR="005B2A50" w:rsidRDefault="005B2A50" w:rsidP="00411DA3">
            <w:pPr>
              <w:rPr>
                <w:b/>
                <w:bCs/>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185691D4" w14:textId="77777777" w:rsidR="005B2A50" w:rsidRDefault="005B2A50" w:rsidP="00411DA3">
            <w:pPr>
              <w:spacing w:line="254" w:lineRule="auto"/>
              <w:jc w:val="right"/>
              <w:rPr>
                <w:b/>
                <w:bCs/>
                <w:color w:val="000000"/>
                <w:sz w:val="20"/>
                <w:szCs w:val="20"/>
              </w:rPr>
            </w:pPr>
            <w:r w:rsidRPr="00201309">
              <w:rPr>
                <w:b/>
                <w:bCs/>
                <w:color w:val="000000"/>
                <w:sz w:val="20"/>
                <w:szCs w:val="20"/>
              </w:rPr>
              <w:t>14,790,895,093.00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14:paraId="4C25203F" w14:textId="77777777" w:rsidR="005B2A50" w:rsidRDefault="005B2A50" w:rsidP="00411DA3">
            <w:pPr>
              <w:rPr>
                <w:b/>
                <w:bCs/>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4752ED7F" w14:textId="77777777" w:rsidR="005B2A50" w:rsidRDefault="005B2A50" w:rsidP="00411DA3">
            <w:pPr>
              <w:spacing w:line="254" w:lineRule="auto"/>
              <w:jc w:val="right"/>
              <w:rPr>
                <w:b/>
                <w:bCs/>
                <w:color w:val="000000"/>
                <w:sz w:val="20"/>
                <w:szCs w:val="20"/>
              </w:rPr>
            </w:pPr>
            <w:r w:rsidRPr="00206500">
              <w:rPr>
                <w:b/>
                <w:bCs/>
                <w:color w:val="000000"/>
                <w:sz w:val="20"/>
                <w:szCs w:val="20"/>
              </w:rPr>
              <w:t>14,338,988,300.00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14:paraId="536E0E75" w14:textId="77777777" w:rsidR="005B2A50" w:rsidRDefault="005B2A50" w:rsidP="00411DA3">
            <w:pPr>
              <w:rPr>
                <w:b/>
                <w:bCs/>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14:paraId="402D78DE" w14:textId="77777777" w:rsidR="005B2A50" w:rsidRDefault="005B2A50" w:rsidP="00411DA3">
            <w:pPr>
              <w:spacing w:line="254" w:lineRule="auto"/>
              <w:jc w:val="right"/>
              <w:rPr>
                <w:b/>
                <w:bCs/>
                <w:color w:val="000000"/>
                <w:sz w:val="20"/>
                <w:szCs w:val="20"/>
              </w:rPr>
            </w:pPr>
            <w:r w:rsidRPr="00206500">
              <w:rPr>
                <w:b/>
                <w:bCs/>
                <w:color w:val="000000"/>
                <w:sz w:val="20"/>
                <w:szCs w:val="20"/>
              </w:rPr>
              <w:t>29,129,883,393.00</w:t>
            </w:r>
          </w:p>
        </w:tc>
      </w:tr>
    </w:tbl>
    <w:p w14:paraId="50F5E734" w14:textId="77777777" w:rsidR="005B2A50" w:rsidRDefault="005B2A50" w:rsidP="005B2A50">
      <w:pPr>
        <w:spacing w:after="200" w:line="360" w:lineRule="auto"/>
        <w:jc w:val="both"/>
        <w:rPr>
          <w:rFonts w:eastAsia="Calibri"/>
          <w:sz w:val="20"/>
          <w:szCs w:val="20"/>
        </w:rPr>
      </w:pPr>
    </w:p>
    <w:p w14:paraId="04B386BE" w14:textId="77777777" w:rsidR="005B2A50" w:rsidRDefault="005B2A50" w:rsidP="005B2A50">
      <w:pPr>
        <w:spacing w:after="200" w:line="360" w:lineRule="auto"/>
        <w:jc w:val="both"/>
        <w:rPr>
          <w:rFonts w:eastAsia="Calibri"/>
          <w:sz w:val="20"/>
          <w:szCs w:val="20"/>
        </w:rPr>
      </w:pPr>
      <w:r w:rsidRPr="00206500">
        <w:rPr>
          <w:rFonts w:eastAsia="Calibri"/>
          <w:sz w:val="20"/>
          <w:szCs w:val="20"/>
        </w:rPr>
        <w:t>Para el Poder Legislativo, se estima un presupuesto total de $474,419,942.00, que representaría un incremento del 6.4% respecto de 2024, integrado como sigue</w:t>
      </w:r>
      <w:r>
        <w:rPr>
          <w:rFonts w:eastAsia="Calibri"/>
          <w:sz w:val="20"/>
          <w:szCs w:val="20"/>
        </w:rPr>
        <w:t>:</w:t>
      </w:r>
    </w:p>
    <w:tbl>
      <w:tblPr>
        <w:tblW w:w="5117" w:type="dxa"/>
        <w:jc w:val="center"/>
        <w:tblCellMar>
          <w:left w:w="70" w:type="dxa"/>
          <w:right w:w="70" w:type="dxa"/>
        </w:tblCellMar>
        <w:tblLook w:val="04A0" w:firstRow="1" w:lastRow="0" w:firstColumn="1" w:lastColumn="0" w:noHBand="0" w:noVBand="1"/>
      </w:tblPr>
      <w:tblGrid>
        <w:gridCol w:w="3685"/>
        <w:gridCol w:w="1432"/>
      </w:tblGrid>
      <w:tr w:rsidR="005B2A50" w14:paraId="773ECEF4" w14:textId="77777777" w:rsidTr="00411DA3">
        <w:trPr>
          <w:trHeight w:val="532"/>
          <w:tblHeader/>
          <w:jc w:val="center"/>
        </w:trPr>
        <w:tc>
          <w:tcPr>
            <w:tcW w:w="3685" w:type="dxa"/>
            <w:tcBorders>
              <w:top w:val="single" w:sz="8" w:space="0" w:color="A6A6A6"/>
              <w:left w:val="single" w:sz="8" w:space="0" w:color="A6A6A6"/>
              <w:bottom w:val="nil"/>
              <w:right w:val="single" w:sz="8" w:space="0" w:color="A6A6A6"/>
            </w:tcBorders>
            <w:shd w:val="clear" w:color="auto" w:fill="CCCCCC"/>
            <w:vAlign w:val="center"/>
            <w:hideMark/>
          </w:tcPr>
          <w:p w14:paraId="7644DA1F" w14:textId="77777777" w:rsidR="005B2A50" w:rsidRDefault="005B2A50" w:rsidP="00411DA3">
            <w:pPr>
              <w:spacing w:line="360" w:lineRule="auto"/>
              <w:jc w:val="center"/>
              <w:rPr>
                <w:b/>
                <w:bCs/>
                <w:sz w:val="20"/>
                <w:szCs w:val="20"/>
                <w:lang w:eastAsia="es-MX"/>
              </w:rPr>
            </w:pPr>
            <w:r>
              <w:rPr>
                <w:b/>
                <w:bCs/>
                <w:sz w:val="20"/>
                <w:szCs w:val="20"/>
                <w:lang w:eastAsia="es-MX"/>
              </w:rPr>
              <w:t>PODER LEGISLATIVO</w:t>
            </w:r>
          </w:p>
        </w:tc>
        <w:tc>
          <w:tcPr>
            <w:tcW w:w="1432" w:type="dxa"/>
            <w:tcBorders>
              <w:top w:val="single" w:sz="8" w:space="0" w:color="A6A6A6"/>
              <w:left w:val="nil"/>
              <w:bottom w:val="nil"/>
              <w:right w:val="single" w:sz="8" w:space="0" w:color="A6A6A6"/>
            </w:tcBorders>
            <w:shd w:val="clear" w:color="auto" w:fill="CCCCCC"/>
            <w:vAlign w:val="center"/>
            <w:hideMark/>
          </w:tcPr>
          <w:p w14:paraId="4A70D2D1" w14:textId="77777777" w:rsidR="005B2A50" w:rsidRDefault="005B2A50" w:rsidP="00411DA3">
            <w:pPr>
              <w:spacing w:line="360" w:lineRule="auto"/>
              <w:jc w:val="center"/>
              <w:rPr>
                <w:b/>
                <w:bCs/>
                <w:sz w:val="20"/>
                <w:szCs w:val="20"/>
                <w:lang w:eastAsia="es-MX"/>
              </w:rPr>
            </w:pPr>
            <w:r>
              <w:rPr>
                <w:b/>
                <w:bCs/>
                <w:sz w:val="20"/>
                <w:szCs w:val="20"/>
                <w:lang w:eastAsia="es-MX"/>
              </w:rPr>
              <w:t>MONTO</w:t>
            </w:r>
          </w:p>
          <w:p w14:paraId="655489FE" w14:textId="77777777" w:rsidR="005B2A50" w:rsidRDefault="005B2A50" w:rsidP="00411DA3">
            <w:pPr>
              <w:spacing w:line="360" w:lineRule="auto"/>
              <w:jc w:val="center"/>
              <w:rPr>
                <w:b/>
                <w:bCs/>
                <w:sz w:val="20"/>
                <w:szCs w:val="20"/>
                <w:lang w:eastAsia="es-MX"/>
              </w:rPr>
            </w:pPr>
            <w:r>
              <w:rPr>
                <w:b/>
                <w:bCs/>
                <w:sz w:val="20"/>
                <w:szCs w:val="20"/>
                <w:lang w:eastAsia="es-MX"/>
              </w:rPr>
              <w:t xml:space="preserve"> ($)</w:t>
            </w:r>
          </w:p>
        </w:tc>
      </w:tr>
      <w:tr w:rsidR="005B2A50" w14:paraId="4DD05536" w14:textId="77777777" w:rsidTr="00411DA3">
        <w:trPr>
          <w:trHeight w:val="102"/>
          <w:jc w:val="center"/>
        </w:trPr>
        <w:tc>
          <w:tcPr>
            <w:tcW w:w="3685" w:type="dxa"/>
            <w:tcBorders>
              <w:top w:val="single" w:sz="8" w:space="0" w:color="A6A6A6"/>
              <w:left w:val="single" w:sz="8" w:space="0" w:color="A6A6A6"/>
              <w:bottom w:val="single" w:sz="8" w:space="0" w:color="A6A6A6"/>
              <w:right w:val="single" w:sz="8" w:space="0" w:color="A6A6A6"/>
            </w:tcBorders>
            <w:vAlign w:val="center"/>
            <w:hideMark/>
          </w:tcPr>
          <w:p w14:paraId="3F96663E" w14:textId="77777777" w:rsidR="005B2A50" w:rsidRDefault="005B2A50" w:rsidP="00411DA3">
            <w:pPr>
              <w:spacing w:line="360" w:lineRule="auto"/>
              <w:jc w:val="both"/>
              <w:rPr>
                <w:sz w:val="20"/>
                <w:szCs w:val="20"/>
                <w:lang w:eastAsia="es-MX"/>
              </w:rPr>
            </w:pPr>
            <w:r>
              <w:rPr>
                <w:sz w:val="20"/>
                <w:szCs w:val="20"/>
                <w:lang w:eastAsia="es-MX"/>
              </w:rPr>
              <w:t>Congreso del Estado</w:t>
            </w:r>
          </w:p>
        </w:tc>
        <w:tc>
          <w:tcPr>
            <w:tcW w:w="1432" w:type="dxa"/>
            <w:tcBorders>
              <w:top w:val="single" w:sz="8" w:space="0" w:color="A6A6A6"/>
              <w:left w:val="nil"/>
              <w:bottom w:val="single" w:sz="8" w:space="0" w:color="A6A6A6"/>
              <w:right w:val="single" w:sz="8" w:space="0" w:color="A6A6A6"/>
            </w:tcBorders>
            <w:vAlign w:val="center"/>
            <w:hideMark/>
          </w:tcPr>
          <w:p w14:paraId="07DD3F41" w14:textId="77777777" w:rsidR="005B2A50" w:rsidRDefault="005B2A50" w:rsidP="00411DA3">
            <w:pPr>
              <w:spacing w:line="254" w:lineRule="auto"/>
              <w:jc w:val="right"/>
              <w:rPr>
                <w:color w:val="000000"/>
                <w:sz w:val="20"/>
                <w:szCs w:val="20"/>
                <w:lang w:val="es-MX" w:eastAsia="es-MX"/>
              </w:rPr>
            </w:pPr>
            <w:r>
              <w:rPr>
                <w:color w:val="000000"/>
                <w:sz w:val="20"/>
                <w:szCs w:val="20"/>
              </w:rPr>
              <w:t>381,709,394.00</w:t>
            </w:r>
          </w:p>
        </w:tc>
      </w:tr>
      <w:tr w:rsidR="005B2A50" w14:paraId="315E8B18" w14:textId="77777777" w:rsidTr="00411DA3">
        <w:trPr>
          <w:trHeight w:val="319"/>
          <w:jc w:val="center"/>
        </w:trPr>
        <w:tc>
          <w:tcPr>
            <w:tcW w:w="3685" w:type="dxa"/>
            <w:tcBorders>
              <w:top w:val="nil"/>
              <w:left w:val="single" w:sz="8" w:space="0" w:color="A6A6A6"/>
              <w:bottom w:val="single" w:sz="8" w:space="0" w:color="A6A6A6"/>
              <w:right w:val="single" w:sz="8" w:space="0" w:color="A6A6A6"/>
            </w:tcBorders>
            <w:vAlign w:val="center"/>
            <w:hideMark/>
          </w:tcPr>
          <w:p w14:paraId="4C61E616" w14:textId="77777777" w:rsidR="005B2A50" w:rsidRDefault="005B2A50" w:rsidP="00411DA3">
            <w:pPr>
              <w:spacing w:line="360" w:lineRule="auto"/>
              <w:jc w:val="both"/>
              <w:rPr>
                <w:sz w:val="20"/>
                <w:szCs w:val="20"/>
                <w:lang w:eastAsia="es-MX"/>
              </w:rPr>
            </w:pPr>
            <w:r>
              <w:rPr>
                <w:sz w:val="20"/>
                <w:szCs w:val="20"/>
                <w:lang w:eastAsia="es-MX"/>
              </w:rPr>
              <w:t xml:space="preserve">Órgano de Fiscalización Superior </w:t>
            </w:r>
          </w:p>
        </w:tc>
        <w:tc>
          <w:tcPr>
            <w:tcW w:w="1432" w:type="dxa"/>
            <w:tcBorders>
              <w:top w:val="nil"/>
              <w:left w:val="nil"/>
              <w:bottom w:val="single" w:sz="8" w:space="0" w:color="A6A6A6"/>
              <w:right w:val="single" w:sz="8" w:space="0" w:color="A6A6A6"/>
            </w:tcBorders>
            <w:vAlign w:val="center"/>
            <w:hideMark/>
          </w:tcPr>
          <w:p w14:paraId="62C4C24A" w14:textId="77777777" w:rsidR="005B2A50" w:rsidRDefault="005B2A50" w:rsidP="00411DA3">
            <w:pPr>
              <w:spacing w:line="254" w:lineRule="auto"/>
              <w:jc w:val="right"/>
              <w:rPr>
                <w:color w:val="000000"/>
                <w:sz w:val="20"/>
                <w:szCs w:val="20"/>
              </w:rPr>
            </w:pPr>
            <w:r>
              <w:rPr>
                <w:color w:val="000000"/>
                <w:sz w:val="20"/>
                <w:szCs w:val="20"/>
              </w:rPr>
              <w:t>92,710,548.00</w:t>
            </w:r>
          </w:p>
        </w:tc>
      </w:tr>
      <w:tr w:rsidR="005B2A50" w14:paraId="43A830CF" w14:textId="77777777" w:rsidTr="00411DA3">
        <w:trPr>
          <w:trHeight w:val="84"/>
          <w:jc w:val="center"/>
        </w:trPr>
        <w:tc>
          <w:tcPr>
            <w:tcW w:w="3685" w:type="dxa"/>
            <w:tcBorders>
              <w:top w:val="nil"/>
              <w:left w:val="single" w:sz="8" w:space="0" w:color="A6A6A6"/>
              <w:bottom w:val="single" w:sz="8" w:space="0" w:color="A6A6A6"/>
              <w:right w:val="single" w:sz="8" w:space="0" w:color="A6A6A6"/>
            </w:tcBorders>
            <w:shd w:val="clear" w:color="auto" w:fill="CCCCCC"/>
            <w:vAlign w:val="center"/>
            <w:hideMark/>
          </w:tcPr>
          <w:p w14:paraId="130AD503" w14:textId="77777777" w:rsidR="005B2A50" w:rsidRDefault="005B2A50" w:rsidP="00411DA3">
            <w:pPr>
              <w:spacing w:line="360" w:lineRule="auto"/>
              <w:jc w:val="center"/>
              <w:rPr>
                <w:b/>
                <w:bCs/>
                <w:sz w:val="20"/>
                <w:szCs w:val="20"/>
                <w:lang w:eastAsia="es-MX"/>
              </w:rPr>
            </w:pPr>
            <w:r>
              <w:rPr>
                <w:b/>
                <w:bCs/>
                <w:sz w:val="20"/>
                <w:szCs w:val="20"/>
                <w:lang w:eastAsia="es-MX"/>
              </w:rPr>
              <w:t>TOTAL</w:t>
            </w:r>
          </w:p>
        </w:tc>
        <w:tc>
          <w:tcPr>
            <w:tcW w:w="1432" w:type="dxa"/>
            <w:tcBorders>
              <w:top w:val="nil"/>
              <w:left w:val="nil"/>
              <w:bottom w:val="single" w:sz="8" w:space="0" w:color="A6A6A6"/>
              <w:right w:val="single" w:sz="8" w:space="0" w:color="A6A6A6"/>
            </w:tcBorders>
            <w:shd w:val="clear" w:color="auto" w:fill="CCCCCC"/>
            <w:vAlign w:val="center"/>
            <w:hideMark/>
          </w:tcPr>
          <w:p w14:paraId="219A9DE5" w14:textId="77777777" w:rsidR="005B2A50" w:rsidRDefault="005B2A50" w:rsidP="00411DA3">
            <w:pPr>
              <w:spacing w:line="254" w:lineRule="auto"/>
              <w:jc w:val="right"/>
              <w:rPr>
                <w:b/>
                <w:bCs/>
                <w:color w:val="000000"/>
                <w:sz w:val="20"/>
                <w:szCs w:val="20"/>
              </w:rPr>
            </w:pPr>
            <w:r>
              <w:rPr>
                <w:b/>
                <w:bCs/>
                <w:color w:val="000000"/>
                <w:sz w:val="20"/>
                <w:szCs w:val="20"/>
              </w:rPr>
              <w:t>474,419,942.00</w:t>
            </w:r>
          </w:p>
        </w:tc>
      </w:tr>
    </w:tbl>
    <w:p w14:paraId="26654E24" w14:textId="77777777" w:rsidR="005B2A50" w:rsidRDefault="005B2A50" w:rsidP="005B2A50">
      <w:pPr>
        <w:spacing w:after="200" w:line="360" w:lineRule="auto"/>
        <w:jc w:val="both"/>
        <w:rPr>
          <w:rFonts w:eastAsia="Calibri"/>
          <w:sz w:val="20"/>
          <w:szCs w:val="20"/>
        </w:rPr>
      </w:pPr>
    </w:p>
    <w:p w14:paraId="0D9D8716" w14:textId="77777777" w:rsidR="005B2A50" w:rsidRDefault="005B2A50" w:rsidP="005B2A50">
      <w:pPr>
        <w:spacing w:after="200" w:line="360" w:lineRule="auto"/>
        <w:jc w:val="both"/>
        <w:rPr>
          <w:rFonts w:eastAsia="Calibri"/>
          <w:sz w:val="20"/>
          <w:szCs w:val="20"/>
        </w:rPr>
      </w:pPr>
    </w:p>
    <w:p w14:paraId="6F5410D6" w14:textId="77777777" w:rsidR="005B2A50" w:rsidRDefault="005B2A50" w:rsidP="005B2A50">
      <w:pPr>
        <w:spacing w:after="200" w:line="360" w:lineRule="auto"/>
        <w:jc w:val="both"/>
        <w:rPr>
          <w:rFonts w:eastAsia="Calibri"/>
          <w:sz w:val="20"/>
          <w:szCs w:val="20"/>
        </w:rPr>
      </w:pPr>
    </w:p>
    <w:p w14:paraId="177385DC" w14:textId="77777777" w:rsidR="005B2A50" w:rsidRDefault="005B2A50" w:rsidP="005B2A50">
      <w:pPr>
        <w:spacing w:after="200" w:line="360" w:lineRule="auto"/>
        <w:jc w:val="center"/>
        <w:rPr>
          <w:rFonts w:eastAsia="Calibri"/>
          <w:b/>
          <w:sz w:val="20"/>
          <w:szCs w:val="20"/>
        </w:rPr>
      </w:pPr>
      <w:r>
        <w:rPr>
          <w:rFonts w:eastAsia="Calibri"/>
          <w:b/>
          <w:sz w:val="20"/>
          <w:szCs w:val="20"/>
        </w:rPr>
        <w:lastRenderedPageBreak/>
        <w:t>ÓRGANOS AUTÓNOMOS</w:t>
      </w:r>
      <w:r>
        <w:rPr>
          <w:rFonts w:eastAsia="Calibri"/>
          <w:sz w:val="20"/>
          <w:szCs w:val="20"/>
        </w:rPr>
        <w:t xml:space="preserve">.  </w:t>
      </w:r>
    </w:p>
    <w:p w14:paraId="45E3070A" w14:textId="77777777" w:rsidR="005B2A50" w:rsidRDefault="005B2A50" w:rsidP="005B2A50">
      <w:pPr>
        <w:spacing w:after="200" w:line="360" w:lineRule="auto"/>
        <w:jc w:val="both"/>
        <w:rPr>
          <w:rFonts w:eastAsia="Calibri"/>
          <w:sz w:val="20"/>
          <w:szCs w:val="20"/>
        </w:rPr>
      </w:pPr>
      <w:r w:rsidRPr="00206500">
        <w:rPr>
          <w:rFonts w:eastAsia="Calibri"/>
          <w:sz w:val="20"/>
          <w:szCs w:val="20"/>
        </w:rPr>
        <w:t>Para los Órganos Autónomos, se estima un presupuesto global de $967,471,773.00, como a continuación se detalla</w:t>
      </w:r>
      <w:r>
        <w:rPr>
          <w:rFonts w:eastAsia="Calibri"/>
          <w:sz w:val="20"/>
          <w:szCs w:val="20"/>
        </w:rPr>
        <w:t>:</w:t>
      </w:r>
    </w:p>
    <w:tbl>
      <w:tblPr>
        <w:tblW w:w="6015" w:type="dxa"/>
        <w:jc w:val="center"/>
        <w:tblCellMar>
          <w:left w:w="70" w:type="dxa"/>
          <w:right w:w="70" w:type="dxa"/>
        </w:tblCellMar>
        <w:tblLook w:val="04A0" w:firstRow="1" w:lastRow="0" w:firstColumn="1" w:lastColumn="0" w:noHBand="0" w:noVBand="1"/>
      </w:tblPr>
      <w:tblGrid>
        <w:gridCol w:w="4625"/>
        <w:gridCol w:w="1390"/>
      </w:tblGrid>
      <w:tr w:rsidR="005B2A50" w14:paraId="7F28DE5D" w14:textId="77777777" w:rsidTr="00411DA3">
        <w:trPr>
          <w:trHeight w:val="396"/>
          <w:tblHeader/>
          <w:jc w:val="center"/>
        </w:trPr>
        <w:tc>
          <w:tcPr>
            <w:tcW w:w="4625" w:type="dxa"/>
            <w:tcBorders>
              <w:top w:val="single" w:sz="8" w:space="0" w:color="A6A6A6"/>
              <w:left w:val="single" w:sz="8" w:space="0" w:color="A6A6A6"/>
              <w:bottom w:val="nil"/>
              <w:right w:val="single" w:sz="8" w:space="0" w:color="A6A6A6"/>
            </w:tcBorders>
            <w:shd w:val="clear" w:color="auto" w:fill="CCCCCC"/>
            <w:vAlign w:val="center"/>
            <w:hideMark/>
          </w:tcPr>
          <w:p w14:paraId="3191D45D" w14:textId="77777777" w:rsidR="005B2A50" w:rsidRDefault="005B2A50" w:rsidP="00411DA3">
            <w:pPr>
              <w:spacing w:line="360" w:lineRule="auto"/>
              <w:jc w:val="center"/>
              <w:rPr>
                <w:b/>
                <w:bCs/>
                <w:sz w:val="20"/>
                <w:szCs w:val="20"/>
                <w:lang w:eastAsia="es-MX"/>
              </w:rPr>
            </w:pPr>
            <w:r>
              <w:rPr>
                <w:b/>
                <w:bCs/>
                <w:sz w:val="20"/>
                <w:szCs w:val="20"/>
                <w:lang w:eastAsia="es-MX"/>
              </w:rPr>
              <w:t>AUTÓNOMOS</w:t>
            </w:r>
          </w:p>
        </w:tc>
        <w:tc>
          <w:tcPr>
            <w:tcW w:w="1390" w:type="dxa"/>
            <w:tcBorders>
              <w:top w:val="single" w:sz="8" w:space="0" w:color="A6A6A6"/>
              <w:left w:val="nil"/>
              <w:bottom w:val="nil"/>
              <w:right w:val="single" w:sz="8" w:space="0" w:color="A6A6A6"/>
            </w:tcBorders>
            <w:shd w:val="clear" w:color="auto" w:fill="CCCCCC"/>
            <w:vAlign w:val="center"/>
            <w:hideMark/>
          </w:tcPr>
          <w:p w14:paraId="428CC36F" w14:textId="77777777" w:rsidR="005B2A50" w:rsidRDefault="005B2A50" w:rsidP="00411DA3">
            <w:pPr>
              <w:spacing w:line="360" w:lineRule="auto"/>
              <w:jc w:val="center"/>
              <w:rPr>
                <w:b/>
                <w:bCs/>
                <w:sz w:val="20"/>
                <w:szCs w:val="20"/>
                <w:lang w:eastAsia="es-MX"/>
              </w:rPr>
            </w:pPr>
            <w:r>
              <w:rPr>
                <w:b/>
                <w:bCs/>
                <w:sz w:val="20"/>
                <w:szCs w:val="20"/>
                <w:lang w:eastAsia="es-MX"/>
              </w:rPr>
              <w:t xml:space="preserve">MONTO  </w:t>
            </w:r>
          </w:p>
          <w:p w14:paraId="2D325663" w14:textId="77777777" w:rsidR="005B2A50" w:rsidRDefault="005B2A50" w:rsidP="00411DA3">
            <w:pPr>
              <w:spacing w:line="360" w:lineRule="auto"/>
              <w:jc w:val="center"/>
              <w:rPr>
                <w:b/>
                <w:bCs/>
                <w:sz w:val="20"/>
                <w:szCs w:val="20"/>
                <w:lang w:eastAsia="es-MX"/>
              </w:rPr>
            </w:pPr>
            <w:r>
              <w:rPr>
                <w:b/>
                <w:bCs/>
                <w:sz w:val="20"/>
                <w:szCs w:val="20"/>
                <w:lang w:eastAsia="es-MX"/>
              </w:rPr>
              <w:t>($)</w:t>
            </w:r>
          </w:p>
        </w:tc>
      </w:tr>
      <w:tr w:rsidR="005B2A50" w14:paraId="4D2446DA" w14:textId="77777777" w:rsidTr="00411DA3">
        <w:trPr>
          <w:trHeight w:val="315"/>
          <w:jc w:val="center"/>
        </w:trPr>
        <w:tc>
          <w:tcPr>
            <w:tcW w:w="4625" w:type="dxa"/>
            <w:tcBorders>
              <w:top w:val="single" w:sz="8" w:space="0" w:color="A6A6A6"/>
              <w:left w:val="single" w:sz="8" w:space="0" w:color="A6A6A6"/>
              <w:bottom w:val="single" w:sz="8" w:space="0" w:color="A6A6A6"/>
              <w:right w:val="single" w:sz="8" w:space="0" w:color="A6A6A6"/>
            </w:tcBorders>
            <w:vAlign w:val="center"/>
            <w:hideMark/>
          </w:tcPr>
          <w:p w14:paraId="5DE7A426" w14:textId="77777777" w:rsidR="005B2A50" w:rsidRDefault="005B2A50" w:rsidP="00411DA3">
            <w:pPr>
              <w:spacing w:line="360" w:lineRule="auto"/>
              <w:jc w:val="both"/>
              <w:rPr>
                <w:sz w:val="20"/>
                <w:szCs w:val="20"/>
                <w:lang w:eastAsia="es-MX"/>
              </w:rPr>
            </w:pPr>
            <w:r>
              <w:rPr>
                <w:sz w:val="20"/>
                <w:szCs w:val="20"/>
                <w:lang w:eastAsia="es-MX"/>
              </w:rPr>
              <w:t>Universidad Autónoma de Tlaxcala</w:t>
            </w:r>
          </w:p>
        </w:tc>
        <w:tc>
          <w:tcPr>
            <w:tcW w:w="1390" w:type="dxa"/>
            <w:tcBorders>
              <w:top w:val="single" w:sz="8" w:space="0" w:color="A6A6A6"/>
              <w:left w:val="nil"/>
              <w:bottom w:val="single" w:sz="8" w:space="0" w:color="A6A6A6"/>
              <w:right w:val="single" w:sz="8" w:space="0" w:color="A6A6A6"/>
            </w:tcBorders>
            <w:vAlign w:val="center"/>
            <w:hideMark/>
          </w:tcPr>
          <w:p w14:paraId="1A912424" w14:textId="77777777" w:rsidR="005B2A50" w:rsidRDefault="005B2A50" w:rsidP="00411DA3">
            <w:pPr>
              <w:spacing w:line="254" w:lineRule="auto"/>
              <w:jc w:val="right"/>
              <w:rPr>
                <w:color w:val="000000"/>
                <w:sz w:val="20"/>
                <w:szCs w:val="20"/>
                <w:lang w:val="es-MX" w:eastAsia="es-MX"/>
              </w:rPr>
            </w:pPr>
            <w:r>
              <w:rPr>
                <w:color w:val="000000"/>
                <w:sz w:val="20"/>
                <w:szCs w:val="20"/>
              </w:rPr>
              <w:t>137,432,527.00</w:t>
            </w:r>
          </w:p>
        </w:tc>
      </w:tr>
      <w:tr w:rsidR="005B2A50" w14:paraId="015D018C" w14:textId="77777777" w:rsidTr="00411DA3">
        <w:trPr>
          <w:trHeight w:val="615"/>
          <w:jc w:val="center"/>
        </w:trPr>
        <w:tc>
          <w:tcPr>
            <w:tcW w:w="4625" w:type="dxa"/>
            <w:tcBorders>
              <w:top w:val="nil"/>
              <w:left w:val="single" w:sz="8" w:space="0" w:color="A6A6A6"/>
              <w:bottom w:val="single" w:sz="8" w:space="0" w:color="A6A6A6"/>
              <w:right w:val="single" w:sz="8" w:space="0" w:color="A6A6A6"/>
            </w:tcBorders>
            <w:vAlign w:val="center"/>
            <w:hideMark/>
          </w:tcPr>
          <w:p w14:paraId="03BF07DE" w14:textId="77777777" w:rsidR="005B2A50" w:rsidRDefault="005B2A50" w:rsidP="00411DA3">
            <w:pPr>
              <w:spacing w:line="360" w:lineRule="auto"/>
              <w:jc w:val="both"/>
              <w:rPr>
                <w:sz w:val="20"/>
                <w:szCs w:val="20"/>
                <w:lang w:eastAsia="es-MX"/>
              </w:rPr>
            </w:pPr>
            <w:r>
              <w:rPr>
                <w:sz w:val="20"/>
                <w:szCs w:val="20"/>
                <w:lang w:eastAsia="es-MX"/>
              </w:rPr>
              <w:t>Comisión Estatal de Derechos Humanos</w:t>
            </w:r>
          </w:p>
        </w:tc>
        <w:tc>
          <w:tcPr>
            <w:tcW w:w="1390" w:type="dxa"/>
            <w:tcBorders>
              <w:top w:val="nil"/>
              <w:left w:val="nil"/>
              <w:bottom w:val="single" w:sz="8" w:space="0" w:color="A6A6A6"/>
              <w:right w:val="single" w:sz="8" w:space="0" w:color="A6A6A6"/>
            </w:tcBorders>
            <w:vAlign w:val="center"/>
            <w:hideMark/>
          </w:tcPr>
          <w:p w14:paraId="529D8DFD" w14:textId="77777777" w:rsidR="005B2A50" w:rsidRDefault="005B2A50" w:rsidP="00411DA3">
            <w:pPr>
              <w:spacing w:line="254" w:lineRule="auto"/>
              <w:jc w:val="right"/>
              <w:rPr>
                <w:color w:val="000000"/>
                <w:sz w:val="20"/>
                <w:szCs w:val="20"/>
              </w:rPr>
            </w:pPr>
            <w:r>
              <w:rPr>
                <w:color w:val="000000"/>
                <w:sz w:val="20"/>
                <w:szCs w:val="20"/>
              </w:rPr>
              <w:t>28,382,484.00</w:t>
            </w:r>
          </w:p>
        </w:tc>
      </w:tr>
      <w:tr w:rsidR="005B2A50" w14:paraId="27C843CB" w14:textId="77777777" w:rsidTr="00411DA3">
        <w:trPr>
          <w:trHeight w:val="315"/>
          <w:jc w:val="center"/>
        </w:trPr>
        <w:tc>
          <w:tcPr>
            <w:tcW w:w="4625" w:type="dxa"/>
            <w:tcBorders>
              <w:top w:val="nil"/>
              <w:left w:val="single" w:sz="8" w:space="0" w:color="A6A6A6"/>
              <w:bottom w:val="single" w:sz="8" w:space="0" w:color="A6A6A6"/>
              <w:right w:val="single" w:sz="8" w:space="0" w:color="A6A6A6"/>
            </w:tcBorders>
            <w:vAlign w:val="center"/>
            <w:hideMark/>
          </w:tcPr>
          <w:p w14:paraId="68111B25" w14:textId="77777777" w:rsidR="005B2A50" w:rsidRDefault="005B2A50" w:rsidP="00411DA3">
            <w:pPr>
              <w:spacing w:line="360" w:lineRule="auto"/>
              <w:jc w:val="both"/>
              <w:rPr>
                <w:sz w:val="20"/>
                <w:szCs w:val="20"/>
                <w:lang w:eastAsia="es-MX"/>
              </w:rPr>
            </w:pPr>
            <w:r>
              <w:rPr>
                <w:sz w:val="20"/>
                <w:szCs w:val="20"/>
                <w:lang w:eastAsia="es-MX"/>
              </w:rPr>
              <w:t>Instituto Tlaxcalteca de Elecciones</w:t>
            </w:r>
          </w:p>
        </w:tc>
        <w:tc>
          <w:tcPr>
            <w:tcW w:w="1390" w:type="dxa"/>
            <w:tcBorders>
              <w:top w:val="nil"/>
              <w:left w:val="nil"/>
              <w:bottom w:val="single" w:sz="8" w:space="0" w:color="A6A6A6"/>
              <w:right w:val="single" w:sz="8" w:space="0" w:color="A6A6A6"/>
            </w:tcBorders>
            <w:vAlign w:val="center"/>
            <w:hideMark/>
          </w:tcPr>
          <w:p w14:paraId="734B38A0" w14:textId="77777777" w:rsidR="005B2A50" w:rsidRDefault="005B2A50" w:rsidP="00411DA3">
            <w:pPr>
              <w:spacing w:line="254" w:lineRule="auto"/>
              <w:jc w:val="right"/>
              <w:rPr>
                <w:color w:val="000000"/>
                <w:sz w:val="20"/>
                <w:szCs w:val="20"/>
              </w:rPr>
            </w:pPr>
            <w:r>
              <w:rPr>
                <w:color w:val="000000"/>
                <w:sz w:val="20"/>
                <w:szCs w:val="20"/>
              </w:rPr>
              <w:t>128,806,150.00</w:t>
            </w:r>
          </w:p>
        </w:tc>
      </w:tr>
      <w:tr w:rsidR="005B2A50" w14:paraId="571619CB" w14:textId="77777777" w:rsidTr="00411DA3">
        <w:trPr>
          <w:trHeight w:val="521"/>
          <w:jc w:val="center"/>
        </w:trPr>
        <w:tc>
          <w:tcPr>
            <w:tcW w:w="4625" w:type="dxa"/>
            <w:tcBorders>
              <w:top w:val="nil"/>
              <w:left w:val="single" w:sz="8" w:space="0" w:color="A6A6A6"/>
              <w:bottom w:val="single" w:sz="8" w:space="0" w:color="A6A6A6"/>
              <w:right w:val="single" w:sz="8" w:space="0" w:color="A6A6A6"/>
            </w:tcBorders>
            <w:vAlign w:val="center"/>
            <w:hideMark/>
          </w:tcPr>
          <w:p w14:paraId="48DD8B5A" w14:textId="77777777" w:rsidR="005B2A50" w:rsidRDefault="005B2A50" w:rsidP="00411DA3">
            <w:pPr>
              <w:spacing w:line="360" w:lineRule="auto"/>
              <w:jc w:val="both"/>
              <w:rPr>
                <w:sz w:val="20"/>
                <w:szCs w:val="20"/>
                <w:lang w:eastAsia="es-MX"/>
              </w:rPr>
            </w:pPr>
            <w:r>
              <w:rPr>
                <w:sz w:val="20"/>
                <w:szCs w:val="20"/>
                <w:lang w:eastAsia="es-MX"/>
              </w:rPr>
              <w:t>Instituto de Acceso a la Información Pública y Protección de Datos Personales para el Estado de Tlaxcala</w:t>
            </w:r>
          </w:p>
        </w:tc>
        <w:tc>
          <w:tcPr>
            <w:tcW w:w="1390" w:type="dxa"/>
            <w:tcBorders>
              <w:top w:val="nil"/>
              <w:left w:val="nil"/>
              <w:bottom w:val="single" w:sz="8" w:space="0" w:color="A6A6A6"/>
              <w:right w:val="single" w:sz="8" w:space="0" w:color="A6A6A6"/>
            </w:tcBorders>
            <w:vAlign w:val="center"/>
            <w:hideMark/>
          </w:tcPr>
          <w:p w14:paraId="7637D5E8" w14:textId="77777777" w:rsidR="005B2A50" w:rsidRDefault="005B2A50" w:rsidP="00411DA3">
            <w:pPr>
              <w:spacing w:line="254" w:lineRule="auto"/>
              <w:jc w:val="right"/>
              <w:rPr>
                <w:color w:val="000000"/>
                <w:sz w:val="20"/>
                <w:szCs w:val="20"/>
              </w:rPr>
            </w:pPr>
            <w:r>
              <w:rPr>
                <w:color w:val="000000"/>
                <w:sz w:val="20"/>
                <w:szCs w:val="20"/>
              </w:rPr>
              <w:t>21,701,706.00</w:t>
            </w:r>
          </w:p>
        </w:tc>
      </w:tr>
      <w:tr w:rsidR="005B2A50" w14:paraId="77DE6147" w14:textId="77777777" w:rsidTr="00411DA3">
        <w:trPr>
          <w:trHeight w:val="315"/>
          <w:jc w:val="center"/>
        </w:trPr>
        <w:tc>
          <w:tcPr>
            <w:tcW w:w="4625" w:type="dxa"/>
            <w:tcBorders>
              <w:top w:val="nil"/>
              <w:left w:val="single" w:sz="8" w:space="0" w:color="A6A6A6"/>
              <w:bottom w:val="single" w:sz="8" w:space="0" w:color="A6A6A6"/>
              <w:right w:val="single" w:sz="8" w:space="0" w:color="A6A6A6"/>
            </w:tcBorders>
            <w:vAlign w:val="center"/>
            <w:hideMark/>
          </w:tcPr>
          <w:p w14:paraId="05E86BF9" w14:textId="77777777" w:rsidR="005B2A50" w:rsidRDefault="005B2A50" w:rsidP="00411DA3">
            <w:pPr>
              <w:spacing w:line="360" w:lineRule="auto"/>
              <w:jc w:val="both"/>
              <w:rPr>
                <w:sz w:val="20"/>
                <w:szCs w:val="20"/>
                <w:lang w:eastAsia="es-MX"/>
              </w:rPr>
            </w:pPr>
            <w:r>
              <w:rPr>
                <w:sz w:val="20"/>
                <w:szCs w:val="20"/>
                <w:lang w:eastAsia="es-MX"/>
              </w:rPr>
              <w:t>Tribunal de Conciliación y Arbitraje del Estado</w:t>
            </w:r>
          </w:p>
        </w:tc>
        <w:tc>
          <w:tcPr>
            <w:tcW w:w="1390" w:type="dxa"/>
            <w:tcBorders>
              <w:top w:val="nil"/>
              <w:left w:val="nil"/>
              <w:bottom w:val="single" w:sz="8" w:space="0" w:color="A6A6A6"/>
              <w:right w:val="single" w:sz="8" w:space="0" w:color="A6A6A6"/>
            </w:tcBorders>
            <w:vAlign w:val="center"/>
            <w:hideMark/>
          </w:tcPr>
          <w:p w14:paraId="4082E029" w14:textId="77777777" w:rsidR="005B2A50" w:rsidRDefault="005B2A50" w:rsidP="00411DA3">
            <w:pPr>
              <w:spacing w:line="254" w:lineRule="auto"/>
              <w:jc w:val="right"/>
              <w:rPr>
                <w:color w:val="000000"/>
                <w:sz w:val="20"/>
                <w:szCs w:val="20"/>
              </w:rPr>
            </w:pPr>
            <w:r>
              <w:rPr>
                <w:color w:val="000000"/>
                <w:sz w:val="20"/>
                <w:szCs w:val="20"/>
              </w:rPr>
              <w:t>18,885,184.00</w:t>
            </w:r>
          </w:p>
        </w:tc>
      </w:tr>
      <w:tr w:rsidR="005B2A50" w14:paraId="3C9E9C2B" w14:textId="77777777" w:rsidTr="00411DA3">
        <w:trPr>
          <w:trHeight w:val="315"/>
          <w:jc w:val="center"/>
        </w:trPr>
        <w:tc>
          <w:tcPr>
            <w:tcW w:w="4625" w:type="dxa"/>
            <w:tcBorders>
              <w:top w:val="nil"/>
              <w:left w:val="single" w:sz="8" w:space="0" w:color="A6A6A6"/>
              <w:bottom w:val="single" w:sz="8" w:space="0" w:color="A6A6A6"/>
              <w:right w:val="single" w:sz="8" w:space="0" w:color="A6A6A6"/>
            </w:tcBorders>
            <w:vAlign w:val="center"/>
            <w:hideMark/>
          </w:tcPr>
          <w:p w14:paraId="2946DF93" w14:textId="77777777" w:rsidR="005B2A50" w:rsidRDefault="005B2A50" w:rsidP="00411DA3">
            <w:pPr>
              <w:spacing w:line="360" w:lineRule="auto"/>
              <w:jc w:val="both"/>
              <w:rPr>
                <w:sz w:val="20"/>
                <w:szCs w:val="20"/>
                <w:lang w:eastAsia="es-MX"/>
              </w:rPr>
            </w:pPr>
            <w:r>
              <w:rPr>
                <w:sz w:val="20"/>
                <w:szCs w:val="20"/>
                <w:lang w:eastAsia="es-MX"/>
              </w:rPr>
              <w:t>Tribunal Electoral de Tlaxcala</w:t>
            </w:r>
          </w:p>
        </w:tc>
        <w:tc>
          <w:tcPr>
            <w:tcW w:w="1390" w:type="dxa"/>
            <w:tcBorders>
              <w:top w:val="nil"/>
              <w:left w:val="nil"/>
              <w:bottom w:val="single" w:sz="8" w:space="0" w:color="A6A6A6"/>
              <w:right w:val="single" w:sz="8" w:space="0" w:color="A6A6A6"/>
            </w:tcBorders>
            <w:vAlign w:val="center"/>
            <w:hideMark/>
          </w:tcPr>
          <w:p w14:paraId="1EFBCAC5" w14:textId="77777777" w:rsidR="005B2A50" w:rsidRDefault="005B2A50" w:rsidP="00411DA3">
            <w:pPr>
              <w:spacing w:line="254" w:lineRule="auto"/>
              <w:jc w:val="right"/>
              <w:rPr>
                <w:color w:val="000000"/>
                <w:sz w:val="20"/>
                <w:szCs w:val="20"/>
              </w:rPr>
            </w:pPr>
            <w:r>
              <w:rPr>
                <w:color w:val="000000"/>
                <w:sz w:val="20"/>
                <w:szCs w:val="20"/>
              </w:rPr>
              <w:t>47,010,768.00</w:t>
            </w:r>
          </w:p>
        </w:tc>
      </w:tr>
      <w:tr w:rsidR="005B2A50" w14:paraId="6DF08DDB" w14:textId="77777777" w:rsidTr="00411DA3">
        <w:trPr>
          <w:trHeight w:val="315"/>
          <w:jc w:val="center"/>
        </w:trPr>
        <w:tc>
          <w:tcPr>
            <w:tcW w:w="4625" w:type="dxa"/>
            <w:tcBorders>
              <w:top w:val="nil"/>
              <w:left w:val="single" w:sz="8" w:space="0" w:color="A6A6A6"/>
              <w:bottom w:val="single" w:sz="8" w:space="0" w:color="A6A6A6"/>
              <w:right w:val="single" w:sz="8" w:space="0" w:color="A6A6A6"/>
            </w:tcBorders>
            <w:vAlign w:val="center"/>
            <w:hideMark/>
          </w:tcPr>
          <w:p w14:paraId="2BD9E4BB" w14:textId="77777777" w:rsidR="005B2A50" w:rsidRDefault="005B2A50" w:rsidP="00411DA3">
            <w:pPr>
              <w:spacing w:line="360" w:lineRule="auto"/>
              <w:jc w:val="both"/>
              <w:rPr>
                <w:sz w:val="20"/>
                <w:szCs w:val="20"/>
                <w:lang w:eastAsia="es-MX"/>
              </w:rPr>
            </w:pPr>
            <w:r>
              <w:rPr>
                <w:sz w:val="20"/>
                <w:szCs w:val="20"/>
                <w:lang w:eastAsia="es-MX"/>
              </w:rPr>
              <w:t>Secretaria Ejecutiva del Sistema Anticorrupción del Estado de Tlaxcala</w:t>
            </w:r>
          </w:p>
        </w:tc>
        <w:tc>
          <w:tcPr>
            <w:tcW w:w="1390" w:type="dxa"/>
            <w:tcBorders>
              <w:top w:val="nil"/>
              <w:left w:val="nil"/>
              <w:bottom w:val="single" w:sz="8" w:space="0" w:color="A6A6A6"/>
              <w:right w:val="single" w:sz="8" w:space="0" w:color="A6A6A6"/>
            </w:tcBorders>
            <w:vAlign w:val="center"/>
            <w:hideMark/>
          </w:tcPr>
          <w:p w14:paraId="61289BDE" w14:textId="77777777" w:rsidR="005B2A50" w:rsidRDefault="005B2A50" w:rsidP="00411DA3">
            <w:pPr>
              <w:spacing w:line="254" w:lineRule="auto"/>
              <w:jc w:val="right"/>
              <w:rPr>
                <w:color w:val="000000"/>
                <w:sz w:val="20"/>
                <w:szCs w:val="20"/>
              </w:rPr>
            </w:pPr>
            <w:r>
              <w:rPr>
                <w:color w:val="000000"/>
                <w:sz w:val="20"/>
                <w:szCs w:val="20"/>
              </w:rPr>
              <w:t>13,235,857.00</w:t>
            </w:r>
          </w:p>
        </w:tc>
      </w:tr>
      <w:tr w:rsidR="005B2A50" w14:paraId="7C3D1E60" w14:textId="77777777" w:rsidTr="00411DA3">
        <w:trPr>
          <w:trHeight w:val="315"/>
          <w:jc w:val="center"/>
        </w:trPr>
        <w:tc>
          <w:tcPr>
            <w:tcW w:w="4625" w:type="dxa"/>
            <w:tcBorders>
              <w:top w:val="nil"/>
              <w:left w:val="single" w:sz="8" w:space="0" w:color="A6A6A6"/>
              <w:bottom w:val="single" w:sz="8" w:space="0" w:color="A6A6A6"/>
              <w:right w:val="single" w:sz="8" w:space="0" w:color="A6A6A6"/>
            </w:tcBorders>
            <w:vAlign w:val="center"/>
            <w:hideMark/>
          </w:tcPr>
          <w:p w14:paraId="407EEE37" w14:textId="77777777" w:rsidR="005B2A50" w:rsidRDefault="005B2A50" w:rsidP="00411DA3">
            <w:pPr>
              <w:spacing w:line="360" w:lineRule="auto"/>
              <w:jc w:val="both"/>
              <w:rPr>
                <w:sz w:val="20"/>
                <w:szCs w:val="20"/>
                <w:lang w:eastAsia="es-MX"/>
              </w:rPr>
            </w:pPr>
            <w:r>
              <w:rPr>
                <w:sz w:val="20"/>
                <w:szCs w:val="20"/>
                <w:lang w:eastAsia="es-MX"/>
              </w:rPr>
              <w:t>Tribunal de Justicia Administrativa</w:t>
            </w:r>
          </w:p>
        </w:tc>
        <w:tc>
          <w:tcPr>
            <w:tcW w:w="1390" w:type="dxa"/>
            <w:tcBorders>
              <w:top w:val="nil"/>
              <w:left w:val="nil"/>
              <w:bottom w:val="single" w:sz="8" w:space="0" w:color="A6A6A6"/>
              <w:right w:val="single" w:sz="8" w:space="0" w:color="A6A6A6"/>
            </w:tcBorders>
            <w:vAlign w:val="center"/>
            <w:hideMark/>
          </w:tcPr>
          <w:p w14:paraId="60857DEF" w14:textId="77777777" w:rsidR="005B2A50" w:rsidRDefault="005B2A50" w:rsidP="00411DA3">
            <w:pPr>
              <w:spacing w:line="254" w:lineRule="auto"/>
              <w:jc w:val="right"/>
              <w:rPr>
                <w:color w:val="000000"/>
                <w:sz w:val="20"/>
                <w:szCs w:val="20"/>
              </w:rPr>
            </w:pPr>
            <w:r>
              <w:rPr>
                <w:color w:val="000000"/>
                <w:sz w:val="20"/>
                <w:szCs w:val="20"/>
              </w:rPr>
              <w:t>67,017,097.00</w:t>
            </w:r>
          </w:p>
        </w:tc>
      </w:tr>
      <w:tr w:rsidR="005B2A50" w14:paraId="7F7D1AC8" w14:textId="77777777" w:rsidTr="00411DA3">
        <w:trPr>
          <w:trHeight w:val="315"/>
          <w:jc w:val="center"/>
        </w:trPr>
        <w:tc>
          <w:tcPr>
            <w:tcW w:w="4625" w:type="dxa"/>
            <w:tcBorders>
              <w:top w:val="nil"/>
              <w:left w:val="single" w:sz="8" w:space="0" w:color="A6A6A6"/>
              <w:bottom w:val="single" w:sz="8" w:space="0" w:color="A6A6A6"/>
              <w:right w:val="single" w:sz="8" w:space="0" w:color="A6A6A6"/>
            </w:tcBorders>
            <w:vAlign w:val="center"/>
          </w:tcPr>
          <w:p w14:paraId="4FC33FEF" w14:textId="77777777" w:rsidR="005B2A50" w:rsidRDefault="005B2A50" w:rsidP="00411DA3">
            <w:pPr>
              <w:spacing w:line="360" w:lineRule="auto"/>
              <w:jc w:val="both"/>
              <w:rPr>
                <w:sz w:val="20"/>
                <w:szCs w:val="20"/>
                <w:lang w:eastAsia="es-MX"/>
              </w:rPr>
            </w:pPr>
            <w:r w:rsidRPr="006938ED">
              <w:rPr>
                <w:sz w:val="20"/>
                <w:szCs w:val="20"/>
                <w:lang w:eastAsia="es-MX"/>
              </w:rPr>
              <w:t>Fiscalía General de Justicia del Estado de Tlaxcala</w:t>
            </w:r>
          </w:p>
        </w:tc>
        <w:tc>
          <w:tcPr>
            <w:tcW w:w="1390" w:type="dxa"/>
            <w:tcBorders>
              <w:top w:val="nil"/>
              <w:left w:val="nil"/>
              <w:bottom w:val="single" w:sz="8" w:space="0" w:color="A6A6A6"/>
              <w:right w:val="single" w:sz="8" w:space="0" w:color="A6A6A6"/>
            </w:tcBorders>
            <w:vAlign w:val="center"/>
          </w:tcPr>
          <w:p w14:paraId="1078A5CB" w14:textId="77777777" w:rsidR="005B2A50" w:rsidRDefault="005B2A50" w:rsidP="00411DA3">
            <w:pPr>
              <w:spacing w:line="254" w:lineRule="auto"/>
              <w:jc w:val="right"/>
              <w:rPr>
                <w:color w:val="000000"/>
                <w:sz w:val="20"/>
                <w:szCs w:val="20"/>
              </w:rPr>
            </w:pPr>
            <w:r>
              <w:rPr>
                <w:color w:val="000000"/>
                <w:sz w:val="20"/>
                <w:szCs w:val="20"/>
              </w:rPr>
              <w:t>505,000,000.00</w:t>
            </w:r>
          </w:p>
        </w:tc>
      </w:tr>
      <w:tr w:rsidR="005B2A50" w14:paraId="6451213F" w14:textId="77777777" w:rsidTr="00411DA3">
        <w:trPr>
          <w:trHeight w:val="330"/>
          <w:jc w:val="center"/>
        </w:trPr>
        <w:tc>
          <w:tcPr>
            <w:tcW w:w="4625" w:type="dxa"/>
            <w:tcBorders>
              <w:top w:val="nil"/>
              <w:left w:val="single" w:sz="8" w:space="0" w:color="A6A6A6"/>
              <w:bottom w:val="single" w:sz="8" w:space="0" w:color="A6A6A6"/>
              <w:right w:val="single" w:sz="8" w:space="0" w:color="A6A6A6"/>
            </w:tcBorders>
            <w:shd w:val="clear" w:color="auto" w:fill="CCCCCC"/>
            <w:vAlign w:val="center"/>
            <w:hideMark/>
          </w:tcPr>
          <w:p w14:paraId="7D797A24" w14:textId="77777777" w:rsidR="005B2A50" w:rsidRDefault="005B2A50" w:rsidP="00411DA3">
            <w:pPr>
              <w:spacing w:line="360" w:lineRule="auto"/>
              <w:jc w:val="center"/>
              <w:rPr>
                <w:b/>
                <w:bCs/>
                <w:sz w:val="20"/>
                <w:szCs w:val="20"/>
                <w:lang w:eastAsia="es-MX"/>
              </w:rPr>
            </w:pPr>
            <w:r>
              <w:rPr>
                <w:b/>
                <w:bCs/>
                <w:sz w:val="20"/>
                <w:szCs w:val="20"/>
                <w:lang w:eastAsia="es-MX"/>
              </w:rPr>
              <w:t>TOTAL</w:t>
            </w:r>
          </w:p>
        </w:tc>
        <w:tc>
          <w:tcPr>
            <w:tcW w:w="1390" w:type="dxa"/>
            <w:tcBorders>
              <w:top w:val="nil"/>
              <w:left w:val="nil"/>
              <w:bottom w:val="single" w:sz="8" w:space="0" w:color="A6A6A6"/>
              <w:right w:val="single" w:sz="8" w:space="0" w:color="A6A6A6"/>
            </w:tcBorders>
            <w:shd w:val="clear" w:color="auto" w:fill="CCCCCC"/>
            <w:vAlign w:val="center"/>
            <w:hideMark/>
          </w:tcPr>
          <w:p w14:paraId="384FB149" w14:textId="77777777" w:rsidR="005B2A50" w:rsidRDefault="005B2A50" w:rsidP="00411DA3">
            <w:pPr>
              <w:spacing w:line="254" w:lineRule="auto"/>
              <w:jc w:val="right"/>
              <w:rPr>
                <w:b/>
                <w:bCs/>
                <w:color w:val="000000"/>
                <w:sz w:val="20"/>
                <w:szCs w:val="20"/>
              </w:rPr>
            </w:pPr>
            <w:r w:rsidRPr="009D1AFB">
              <w:rPr>
                <w:b/>
                <w:bCs/>
                <w:color w:val="000000"/>
                <w:sz w:val="20"/>
                <w:szCs w:val="20"/>
              </w:rPr>
              <w:t>967,471,773.00</w:t>
            </w:r>
          </w:p>
        </w:tc>
      </w:tr>
    </w:tbl>
    <w:p w14:paraId="17756507" w14:textId="77777777" w:rsidR="005B2A50" w:rsidRDefault="005B2A50" w:rsidP="005B2A50">
      <w:pPr>
        <w:spacing w:after="200" w:line="360" w:lineRule="auto"/>
        <w:jc w:val="both"/>
        <w:rPr>
          <w:rFonts w:eastAsia="Calibri"/>
          <w:sz w:val="20"/>
          <w:szCs w:val="20"/>
        </w:rPr>
      </w:pPr>
    </w:p>
    <w:p w14:paraId="0DB169AE" w14:textId="77777777" w:rsidR="005B2A50" w:rsidRDefault="005B2A50" w:rsidP="005B2A50">
      <w:pPr>
        <w:spacing w:after="200" w:line="360" w:lineRule="auto"/>
        <w:jc w:val="center"/>
        <w:rPr>
          <w:b/>
          <w:sz w:val="20"/>
          <w:szCs w:val="20"/>
        </w:rPr>
      </w:pPr>
      <w:r>
        <w:rPr>
          <w:b/>
          <w:sz w:val="20"/>
          <w:szCs w:val="20"/>
        </w:rPr>
        <w:t>MUNICIPIOS</w:t>
      </w:r>
    </w:p>
    <w:p w14:paraId="6A2FEB29" w14:textId="77777777" w:rsidR="005B2A50" w:rsidRDefault="005B2A50" w:rsidP="005B2A50">
      <w:pPr>
        <w:spacing w:line="360" w:lineRule="auto"/>
        <w:jc w:val="both"/>
        <w:rPr>
          <w:sz w:val="20"/>
          <w:szCs w:val="20"/>
        </w:rPr>
      </w:pPr>
      <w:r w:rsidRPr="00206500">
        <w:rPr>
          <w:sz w:val="20"/>
          <w:szCs w:val="20"/>
        </w:rPr>
        <w:t>Para Municipios se prevé un pres</w:t>
      </w:r>
      <w:r>
        <w:rPr>
          <w:sz w:val="20"/>
          <w:szCs w:val="20"/>
        </w:rPr>
        <w:t>upuesto global de $5,486,514,322</w:t>
      </w:r>
      <w:r w:rsidRPr="00206500">
        <w:rPr>
          <w:sz w:val="20"/>
          <w:szCs w:val="20"/>
        </w:rPr>
        <w:t>.00, integrados por $2,877,471,528.00 de Participaciones e Incentivos Derivados de la Colaboración Fiscal, $93,806,52</w:t>
      </w:r>
      <w:r>
        <w:rPr>
          <w:sz w:val="20"/>
          <w:szCs w:val="20"/>
        </w:rPr>
        <w:t>6</w:t>
      </w:r>
      <w:r w:rsidRPr="00206500">
        <w:rPr>
          <w:sz w:val="20"/>
          <w:szCs w:val="20"/>
        </w:rPr>
        <w:t>.00 de Ingresos Derivados de Fuentes Locales participables y $2,515,236,268.00 de Aportaciones Federales</w:t>
      </w:r>
      <w:r>
        <w:rPr>
          <w:sz w:val="20"/>
          <w:szCs w:val="20"/>
        </w:rPr>
        <w:t>.</w:t>
      </w:r>
    </w:p>
    <w:p w14:paraId="4B5D7184" w14:textId="77777777" w:rsidR="005B2A50" w:rsidRDefault="005B2A50" w:rsidP="005B2A50">
      <w:pPr>
        <w:spacing w:line="360" w:lineRule="auto"/>
        <w:jc w:val="both"/>
        <w:rPr>
          <w:sz w:val="20"/>
          <w:szCs w:val="20"/>
        </w:rPr>
      </w:pPr>
    </w:p>
    <w:p w14:paraId="5AD8A4D3" w14:textId="77777777" w:rsidR="005B2A50" w:rsidRDefault="005B2A50" w:rsidP="005B2A50">
      <w:pPr>
        <w:spacing w:after="200" w:line="360" w:lineRule="auto"/>
        <w:contextualSpacing/>
        <w:jc w:val="center"/>
        <w:rPr>
          <w:rFonts w:eastAsia="Calibri"/>
          <w:b/>
          <w:sz w:val="20"/>
          <w:szCs w:val="20"/>
        </w:rPr>
      </w:pPr>
      <w:r>
        <w:rPr>
          <w:rFonts w:eastAsia="Calibri"/>
          <w:b/>
          <w:sz w:val="20"/>
          <w:szCs w:val="20"/>
        </w:rPr>
        <w:t>RECURSOS FEDERALES A MUNICIPIOS</w:t>
      </w:r>
    </w:p>
    <w:tbl>
      <w:tblPr>
        <w:tblW w:w="7800" w:type="dxa"/>
        <w:jc w:val="center"/>
        <w:tblLayout w:type="fixed"/>
        <w:tblCellMar>
          <w:left w:w="70" w:type="dxa"/>
          <w:right w:w="70" w:type="dxa"/>
        </w:tblCellMar>
        <w:tblLook w:val="04A0" w:firstRow="1" w:lastRow="0" w:firstColumn="1" w:lastColumn="0" w:noHBand="0" w:noVBand="1"/>
      </w:tblPr>
      <w:tblGrid>
        <w:gridCol w:w="3125"/>
        <w:gridCol w:w="1559"/>
        <w:gridCol w:w="1558"/>
        <w:gridCol w:w="1558"/>
      </w:tblGrid>
      <w:tr w:rsidR="005B2A50" w14:paraId="542C1861" w14:textId="77777777" w:rsidTr="00411DA3">
        <w:trPr>
          <w:trHeight w:val="330"/>
          <w:tblHeader/>
          <w:jc w:val="center"/>
        </w:trPr>
        <w:tc>
          <w:tcPr>
            <w:tcW w:w="3125" w:type="dxa"/>
            <w:tcBorders>
              <w:top w:val="single" w:sz="8" w:space="0" w:color="A6A6A6"/>
              <w:left w:val="single" w:sz="8" w:space="0" w:color="A6A6A6"/>
              <w:bottom w:val="nil"/>
              <w:right w:val="single" w:sz="8" w:space="0" w:color="A6A6A6"/>
            </w:tcBorders>
            <w:shd w:val="clear" w:color="auto" w:fill="CCCCCC"/>
            <w:vAlign w:val="center"/>
            <w:hideMark/>
          </w:tcPr>
          <w:p w14:paraId="4438249E" w14:textId="77777777" w:rsidR="005B2A50" w:rsidRDefault="005B2A50" w:rsidP="00411DA3">
            <w:pPr>
              <w:spacing w:line="360" w:lineRule="auto"/>
              <w:jc w:val="center"/>
              <w:rPr>
                <w:b/>
                <w:bCs/>
                <w:sz w:val="20"/>
                <w:szCs w:val="20"/>
                <w:lang w:eastAsia="es-MX"/>
              </w:rPr>
            </w:pPr>
            <w:r>
              <w:rPr>
                <w:b/>
                <w:bCs/>
                <w:sz w:val="20"/>
                <w:szCs w:val="20"/>
                <w:lang w:eastAsia="es-MX"/>
              </w:rPr>
              <w:t>MUNICIPIOS</w:t>
            </w:r>
          </w:p>
        </w:tc>
        <w:tc>
          <w:tcPr>
            <w:tcW w:w="1559" w:type="dxa"/>
            <w:tcBorders>
              <w:top w:val="single" w:sz="8" w:space="0" w:color="A6A6A6"/>
              <w:left w:val="nil"/>
              <w:bottom w:val="nil"/>
              <w:right w:val="single" w:sz="8" w:space="0" w:color="A6A6A6"/>
            </w:tcBorders>
            <w:shd w:val="clear" w:color="auto" w:fill="CCCCCC"/>
            <w:vAlign w:val="center"/>
            <w:hideMark/>
          </w:tcPr>
          <w:p w14:paraId="38E1A5CE" w14:textId="77777777" w:rsidR="005B2A50" w:rsidRDefault="005B2A50" w:rsidP="00411DA3">
            <w:pPr>
              <w:spacing w:line="254" w:lineRule="auto"/>
              <w:jc w:val="center"/>
              <w:rPr>
                <w:b/>
                <w:bCs/>
                <w:color w:val="000000"/>
                <w:sz w:val="20"/>
                <w:szCs w:val="20"/>
                <w:lang w:val="es-MX" w:eastAsia="es-MX"/>
              </w:rPr>
            </w:pPr>
            <w:r>
              <w:rPr>
                <w:b/>
                <w:bCs/>
                <w:color w:val="000000"/>
                <w:sz w:val="20"/>
                <w:szCs w:val="20"/>
              </w:rPr>
              <w:t>2023</w:t>
            </w:r>
          </w:p>
        </w:tc>
        <w:tc>
          <w:tcPr>
            <w:tcW w:w="1558" w:type="dxa"/>
            <w:tcBorders>
              <w:top w:val="single" w:sz="8" w:space="0" w:color="A6A6A6"/>
              <w:left w:val="nil"/>
              <w:bottom w:val="nil"/>
              <w:right w:val="single" w:sz="8" w:space="0" w:color="A6A6A6"/>
            </w:tcBorders>
            <w:shd w:val="clear" w:color="auto" w:fill="CCCCCC"/>
            <w:vAlign w:val="center"/>
            <w:hideMark/>
          </w:tcPr>
          <w:p w14:paraId="43A29299" w14:textId="77777777" w:rsidR="005B2A50" w:rsidRDefault="005B2A50" w:rsidP="00411DA3">
            <w:pPr>
              <w:spacing w:line="254" w:lineRule="auto"/>
              <w:jc w:val="center"/>
              <w:rPr>
                <w:b/>
                <w:bCs/>
                <w:color w:val="000000"/>
                <w:sz w:val="20"/>
                <w:szCs w:val="20"/>
              </w:rPr>
            </w:pPr>
            <w:r>
              <w:rPr>
                <w:b/>
                <w:bCs/>
                <w:color w:val="000000"/>
                <w:sz w:val="20"/>
                <w:szCs w:val="20"/>
              </w:rPr>
              <w:t>2024</w:t>
            </w:r>
          </w:p>
        </w:tc>
        <w:tc>
          <w:tcPr>
            <w:tcW w:w="1558" w:type="dxa"/>
            <w:tcBorders>
              <w:top w:val="single" w:sz="8" w:space="0" w:color="A6A6A6"/>
              <w:left w:val="nil"/>
              <w:bottom w:val="nil"/>
              <w:right w:val="single" w:sz="8" w:space="0" w:color="A6A6A6"/>
            </w:tcBorders>
            <w:shd w:val="clear" w:color="auto" w:fill="CCCCCC"/>
            <w:vAlign w:val="center"/>
            <w:hideMark/>
          </w:tcPr>
          <w:p w14:paraId="4EDECB5A" w14:textId="77777777" w:rsidR="005B2A50" w:rsidRDefault="005B2A50" w:rsidP="00411DA3">
            <w:pPr>
              <w:spacing w:line="254" w:lineRule="auto"/>
              <w:jc w:val="center"/>
              <w:rPr>
                <w:b/>
                <w:bCs/>
                <w:color w:val="000000"/>
                <w:sz w:val="20"/>
                <w:szCs w:val="20"/>
              </w:rPr>
            </w:pPr>
            <w:r>
              <w:rPr>
                <w:b/>
                <w:bCs/>
                <w:color w:val="000000"/>
                <w:sz w:val="20"/>
                <w:szCs w:val="20"/>
              </w:rPr>
              <w:t>2025</w:t>
            </w:r>
          </w:p>
        </w:tc>
      </w:tr>
      <w:tr w:rsidR="005B2A50" w14:paraId="55486F48" w14:textId="77777777" w:rsidTr="00411DA3">
        <w:trPr>
          <w:trHeight w:val="380"/>
          <w:jc w:val="center"/>
        </w:trPr>
        <w:tc>
          <w:tcPr>
            <w:tcW w:w="3125" w:type="dxa"/>
            <w:tcBorders>
              <w:top w:val="single" w:sz="8" w:space="0" w:color="A6A6A6"/>
              <w:left w:val="single" w:sz="8" w:space="0" w:color="A6A6A6"/>
              <w:bottom w:val="single" w:sz="8" w:space="0" w:color="A6A6A6"/>
              <w:right w:val="single" w:sz="8" w:space="0" w:color="A6A6A6"/>
            </w:tcBorders>
            <w:vAlign w:val="center"/>
            <w:hideMark/>
          </w:tcPr>
          <w:p w14:paraId="3AB03587" w14:textId="77777777" w:rsidR="005B2A50" w:rsidRDefault="005B2A50" w:rsidP="00411DA3">
            <w:pPr>
              <w:spacing w:line="360" w:lineRule="auto"/>
              <w:jc w:val="both"/>
              <w:rPr>
                <w:sz w:val="20"/>
                <w:szCs w:val="20"/>
                <w:lang w:eastAsia="es-MX"/>
              </w:rPr>
            </w:pPr>
            <w:r>
              <w:rPr>
                <w:sz w:val="20"/>
                <w:szCs w:val="20"/>
                <w:lang w:eastAsia="es-MX"/>
              </w:rPr>
              <w:t>Ingresos Derivados de Fuentes Locales</w:t>
            </w:r>
          </w:p>
        </w:tc>
        <w:tc>
          <w:tcPr>
            <w:tcW w:w="1559" w:type="dxa"/>
            <w:tcBorders>
              <w:top w:val="single" w:sz="8" w:space="0" w:color="A6A6A6"/>
              <w:left w:val="nil"/>
              <w:bottom w:val="single" w:sz="8" w:space="0" w:color="A6A6A6"/>
              <w:right w:val="single" w:sz="8" w:space="0" w:color="A6A6A6"/>
            </w:tcBorders>
            <w:vAlign w:val="center"/>
            <w:hideMark/>
          </w:tcPr>
          <w:p w14:paraId="1502524A" w14:textId="77777777" w:rsidR="005B2A50" w:rsidRDefault="005B2A50" w:rsidP="00411DA3">
            <w:pPr>
              <w:spacing w:line="254" w:lineRule="auto"/>
              <w:jc w:val="right"/>
              <w:rPr>
                <w:color w:val="000000"/>
                <w:sz w:val="20"/>
                <w:szCs w:val="20"/>
              </w:rPr>
            </w:pPr>
            <w:r>
              <w:rPr>
                <w:color w:val="000000"/>
                <w:sz w:val="20"/>
                <w:szCs w:val="20"/>
              </w:rPr>
              <w:t>68,825,102.00</w:t>
            </w:r>
          </w:p>
        </w:tc>
        <w:tc>
          <w:tcPr>
            <w:tcW w:w="1558" w:type="dxa"/>
            <w:tcBorders>
              <w:top w:val="single" w:sz="8" w:space="0" w:color="A6A6A6"/>
              <w:left w:val="nil"/>
              <w:bottom w:val="single" w:sz="8" w:space="0" w:color="A6A6A6"/>
              <w:right w:val="single" w:sz="8" w:space="0" w:color="A6A6A6"/>
            </w:tcBorders>
            <w:vAlign w:val="center"/>
            <w:hideMark/>
          </w:tcPr>
          <w:p w14:paraId="151B96FC" w14:textId="77777777" w:rsidR="005B2A50" w:rsidRDefault="005B2A50" w:rsidP="00411DA3">
            <w:pPr>
              <w:spacing w:line="254" w:lineRule="auto"/>
              <w:jc w:val="right"/>
              <w:rPr>
                <w:color w:val="000000"/>
                <w:sz w:val="20"/>
                <w:szCs w:val="20"/>
              </w:rPr>
            </w:pPr>
            <w:r>
              <w:rPr>
                <w:color w:val="000000"/>
                <w:sz w:val="20"/>
                <w:szCs w:val="20"/>
              </w:rPr>
              <w:t>92,476,597.00</w:t>
            </w:r>
          </w:p>
        </w:tc>
        <w:tc>
          <w:tcPr>
            <w:tcW w:w="1558" w:type="dxa"/>
            <w:tcBorders>
              <w:top w:val="single" w:sz="8" w:space="0" w:color="A6A6A6"/>
              <w:left w:val="nil"/>
              <w:bottom w:val="single" w:sz="8" w:space="0" w:color="A6A6A6"/>
              <w:right w:val="single" w:sz="8" w:space="0" w:color="A6A6A6"/>
            </w:tcBorders>
            <w:vAlign w:val="center"/>
            <w:hideMark/>
          </w:tcPr>
          <w:p w14:paraId="5E7BFA91" w14:textId="77777777" w:rsidR="005B2A50" w:rsidRDefault="005B2A50" w:rsidP="00411DA3">
            <w:pPr>
              <w:jc w:val="right"/>
              <w:rPr>
                <w:color w:val="000000"/>
                <w:sz w:val="20"/>
                <w:szCs w:val="20"/>
                <w:lang w:val="es-MX" w:eastAsia="es-MX"/>
              </w:rPr>
            </w:pPr>
            <w:r>
              <w:rPr>
                <w:color w:val="000000"/>
                <w:sz w:val="20"/>
                <w:szCs w:val="20"/>
              </w:rPr>
              <w:t>93,806,526.00</w:t>
            </w:r>
          </w:p>
        </w:tc>
      </w:tr>
      <w:tr w:rsidR="005B2A50" w14:paraId="45206143" w14:textId="77777777" w:rsidTr="00411DA3">
        <w:trPr>
          <w:trHeight w:val="315"/>
          <w:jc w:val="center"/>
        </w:trPr>
        <w:tc>
          <w:tcPr>
            <w:tcW w:w="3125" w:type="dxa"/>
            <w:tcBorders>
              <w:top w:val="nil"/>
              <w:left w:val="single" w:sz="8" w:space="0" w:color="A6A6A6"/>
              <w:bottom w:val="single" w:sz="8" w:space="0" w:color="A6A6A6"/>
              <w:right w:val="single" w:sz="8" w:space="0" w:color="A6A6A6"/>
            </w:tcBorders>
            <w:vAlign w:val="center"/>
            <w:hideMark/>
          </w:tcPr>
          <w:p w14:paraId="56E1F87E" w14:textId="77777777" w:rsidR="005B2A50" w:rsidRDefault="005B2A50" w:rsidP="00411DA3">
            <w:pPr>
              <w:spacing w:line="360" w:lineRule="auto"/>
              <w:jc w:val="both"/>
              <w:rPr>
                <w:sz w:val="20"/>
                <w:szCs w:val="20"/>
                <w:lang w:eastAsia="es-MX"/>
              </w:rPr>
            </w:pPr>
            <w:r>
              <w:rPr>
                <w:sz w:val="20"/>
                <w:szCs w:val="20"/>
                <w:lang w:eastAsia="es-MX"/>
              </w:rPr>
              <w:lastRenderedPageBreak/>
              <w:t>Participaciones e Incentivos Derivados de la Colaboración Fiscal</w:t>
            </w:r>
          </w:p>
        </w:tc>
        <w:tc>
          <w:tcPr>
            <w:tcW w:w="1559" w:type="dxa"/>
            <w:tcBorders>
              <w:top w:val="nil"/>
              <w:left w:val="nil"/>
              <w:bottom w:val="single" w:sz="8" w:space="0" w:color="A6A6A6"/>
              <w:right w:val="single" w:sz="8" w:space="0" w:color="A6A6A6"/>
            </w:tcBorders>
            <w:vAlign w:val="center"/>
            <w:hideMark/>
          </w:tcPr>
          <w:p w14:paraId="3606E3B9" w14:textId="77777777" w:rsidR="005B2A50" w:rsidRDefault="005B2A50" w:rsidP="00411DA3">
            <w:pPr>
              <w:spacing w:line="254" w:lineRule="auto"/>
              <w:jc w:val="right"/>
              <w:rPr>
                <w:color w:val="000000"/>
                <w:sz w:val="20"/>
                <w:szCs w:val="20"/>
              </w:rPr>
            </w:pPr>
            <w:r>
              <w:rPr>
                <w:color w:val="000000"/>
                <w:sz w:val="20"/>
                <w:szCs w:val="20"/>
              </w:rPr>
              <w:t>2,498,790,564.00</w:t>
            </w:r>
          </w:p>
        </w:tc>
        <w:tc>
          <w:tcPr>
            <w:tcW w:w="1558" w:type="dxa"/>
            <w:tcBorders>
              <w:top w:val="nil"/>
              <w:left w:val="nil"/>
              <w:bottom w:val="single" w:sz="8" w:space="0" w:color="A6A6A6"/>
              <w:right w:val="single" w:sz="8" w:space="0" w:color="A6A6A6"/>
            </w:tcBorders>
            <w:vAlign w:val="center"/>
            <w:hideMark/>
          </w:tcPr>
          <w:p w14:paraId="415B03E7" w14:textId="77777777" w:rsidR="005B2A50" w:rsidRDefault="005B2A50" w:rsidP="00411DA3">
            <w:pPr>
              <w:spacing w:line="254" w:lineRule="auto"/>
              <w:jc w:val="right"/>
              <w:rPr>
                <w:color w:val="000000"/>
                <w:sz w:val="20"/>
                <w:szCs w:val="20"/>
              </w:rPr>
            </w:pPr>
            <w:r>
              <w:rPr>
                <w:color w:val="000000"/>
                <w:sz w:val="20"/>
                <w:szCs w:val="20"/>
              </w:rPr>
              <w:t>2,663,608,644.00</w:t>
            </w:r>
          </w:p>
        </w:tc>
        <w:tc>
          <w:tcPr>
            <w:tcW w:w="1558" w:type="dxa"/>
            <w:tcBorders>
              <w:top w:val="nil"/>
              <w:left w:val="nil"/>
              <w:bottom w:val="single" w:sz="8" w:space="0" w:color="A6A6A6"/>
              <w:right w:val="single" w:sz="8" w:space="0" w:color="A6A6A6"/>
            </w:tcBorders>
            <w:vAlign w:val="center"/>
            <w:hideMark/>
          </w:tcPr>
          <w:p w14:paraId="5BB18AA2" w14:textId="77777777" w:rsidR="005B2A50" w:rsidRDefault="005B2A50" w:rsidP="00411DA3">
            <w:pPr>
              <w:jc w:val="right"/>
              <w:rPr>
                <w:color w:val="000000"/>
                <w:sz w:val="20"/>
                <w:szCs w:val="20"/>
              </w:rPr>
            </w:pPr>
            <w:r>
              <w:rPr>
                <w:color w:val="000000"/>
                <w:sz w:val="20"/>
                <w:szCs w:val="20"/>
              </w:rPr>
              <w:t>2,877,471,528.00</w:t>
            </w:r>
          </w:p>
        </w:tc>
      </w:tr>
      <w:tr w:rsidR="005B2A50" w14:paraId="357C50B2" w14:textId="77777777" w:rsidTr="00411DA3">
        <w:trPr>
          <w:trHeight w:val="231"/>
          <w:jc w:val="center"/>
        </w:trPr>
        <w:tc>
          <w:tcPr>
            <w:tcW w:w="3125" w:type="dxa"/>
            <w:tcBorders>
              <w:top w:val="nil"/>
              <w:left w:val="single" w:sz="8" w:space="0" w:color="A6A6A6"/>
              <w:bottom w:val="single" w:sz="8" w:space="0" w:color="A6A6A6"/>
              <w:right w:val="single" w:sz="8" w:space="0" w:color="A6A6A6"/>
            </w:tcBorders>
            <w:vAlign w:val="center"/>
            <w:hideMark/>
          </w:tcPr>
          <w:p w14:paraId="06401D36" w14:textId="77777777" w:rsidR="005B2A50" w:rsidRDefault="005B2A50" w:rsidP="00411DA3">
            <w:pPr>
              <w:spacing w:line="360" w:lineRule="auto"/>
              <w:jc w:val="both"/>
              <w:rPr>
                <w:sz w:val="20"/>
                <w:szCs w:val="20"/>
                <w:lang w:eastAsia="es-MX"/>
              </w:rPr>
            </w:pPr>
            <w:r>
              <w:rPr>
                <w:sz w:val="20"/>
                <w:szCs w:val="20"/>
                <w:lang w:eastAsia="es-MX"/>
              </w:rPr>
              <w:t>Aportaciones Federales (Ramo 33)</w:t>
            </w:r>
          </w:p>
        </w:tc>
        <w:tc>
          <w:tcPr>
            <w:tcW w:w="1559" w:type="dxa"/>
            <w:tcBorders>
              <w:top w:val="nil"/>
              <w:left w:val="nil"/>
              <w:bottom w:val="single" w:sz="8" w:space="0" w:color="A6A6A6"/>
              <w:right w:val="single" w:sz="8" w:space="0" w:color="A6A6A6"/>
            </w:tcBorders>
            <w:vAlign w:val="center"/>
            <w:hideMark/>
          </w:tcPr>
          <w:p w14:paraId="64AD5A3C" w14:textId="77777777" w:rsidR="005B2A50" w:rsidRDefault="005B2A50" w:rsidP="00411DA3">
            <w:pPr>
              <w:spacing w:line="254" w:lineRule="auto"/>
              <w:jc w:val="right"/>
              <w:rPr>
                <w:color w:val="000000"/>
                <w:sz w:val="20"/>
                <w:szCs w:val="20"/>
              </w:rPr>
            </w:pPr>
            <w:r>
              <w:rPr>
                <w:color w:val="000000"/>
                <w:sz w:val="20"/>
                <w:szCs w:val="20"/>
              </w:rPr>
              <w:t>2,226,522,163.00</w:t>
            </w:r>
          </w:p>
        </w:tc>
        <w:tc>
          <w:tcPr>
            <w:tcW w:w="1558" w:type="dxa"/>
            <w:tcBorders>
              <w:top w:val="nil"/>
              <w:left w:val="nil"/>
              <w:bottom w:val="single" w:sz="8" w:space="0" w:color="A6A6A6"/>
              <w:right w:val="single" w:sz="8" w:space="0" w:color="A6A6A6"/>
            </w:tcBorders>
            <w:vAlign w:val="center"/>
            <w:hideMark/>
          </w:tcPr>
          <w:p w14:paraId="696BA3C9" w14:textId="77777777" w:rsidR="005B2A50" w:rsidRDefault="005B2A50" w:rsidP="00411DA3">
            <w:pPr>
              <w:spacing w:line="254" w:lineRule="auto"/>
              <w:jc w:val="right"/>
              <w:rPr>
                <w:color w:val="000000"/>
                <w:sz w:val="20"/>
                <w:szCs w:val="20"/>
              </w:rPr>
            </w:pPr>
            <w:r>
              <w:rPr>
                <w:color w:val="000000"/>
                <w:sz w:val="20"/>
                <w:szCs w:val="20"/>
              </w:rPr>
              <w:t>2,343,412,174.00</w:t>
            </w:r>
          </w:p>
        </w:tc>
        <w:tc>
          <w:tcPr>
            <w:tcW w:w="1558" w:type="dxa"/>
            <w:tcBorders>
              <w:top w:val="nil"/>
              <w:left w:val="nil"/>
              <w:bottom w:val="single" w:sz="8" w:space="0" w:color="A6A6A6"/>
              <w:right w:val="single" w:sz="8" w:space="0" w:color="A6A6A6"/>
            </w:tcBorders>
            <w:vAlign w:val="center"/>
            <w:hideMark/>
          </w:tcPr>
          <w:p w14:paraId="617736C0" w14:textId="77777777" w:rsidR="005B2A50" w:rsidRDefault="005B2A50" w:rsidP="00411DA3">
            <w:pPr>
              <w:jc w:val="right"/>
              <w:rPr>
                <w:color w:val="000000"/>
                <w:sz w:val="20"/>
                <w:szCs w:val="20"/>
              </w:rPr>
            </w:pPr>
            <w:r>
              <w:rPr>
                <w:color w:val="000000"/>
                <w:sz w:val="20"/>
                <w:szCs w:val="20"/>
              </w:rPr>
              <w:t>2,515,236,268.00</w:t>
            </w:r>
          </w:p>
        </w:tc>
      </w:tr>
      <w:tr w:rsidR="005B2A50" w14:paraId="701A82F0" w14:textId="77777777" w:rsidTr="00411DA3">
        <w:trPr>
          <w:trHeight w:val="330"/>
          <w:jc w:val="center"/>
        </w:trPr>
        <w:tc>
          <w:tcPr>
            <w:tcW w:w="3125" w:type="dxa"/>
            <w:tcBorders>
              <w:top w:val="nil"/>
              <w:left w:val="single" w:sz="8" w:space="0" w:color="A6A6A6"/>
              <w:bottom w:val="single" w:sz="8" w:space="0" w:color="A6A6A6"/>
              <w:right w:val="single" w:sz="8" w:space="0" w:color="A6A6A6"/>
            </w:tcBorders>
            <w:shd w:val="clear" w:color="auto" w:fill="CCCCCC"/>
            <w:vAlign w:val="center"/>
            <w:hideMark/>
          </w:tcPr>
          <w:p w14:paraId="7D309A8C" w14:textId="77777777" w:rsidR="005B2A50" w:rsidRDefault="005B2A50" w:rsidP="00411DA3">
            <w:pPr>
              <w:spacing w:line="360" w:lineRule="auto"/>
              <w:jc w:val="center"/>
              <w:rPr>
                <w:b/>
                <w:bCs/>
                <w:sz w:val="20"/>
                <w:szCs w:val="20"/>
                <w:lang w:eastAsia="es-MX"/>
              </w:rPr>
            </w:pPr>
            <w:r>
              <w:rPr>
                <w:b/>
                <w:bCs/>
                <w:sz w:val="20"/>
                <w:szCs w:val="20"/>
                <w:lang w:eastAsia="es-MX"/>
              </w:rPr>
              <w:t>TOTAL</w:t>
            </w:r>
          </w:p>
        </w:tc>
        <w:tc>
          <w:tcPr>
            <w:tcW w:w="1559" w:type="dxa"/>
            <w:tcBorders>
              <w:top w:val="nil"/>
              <w:left w:val="nil"/>
              <w:bottom w:val="single" w:sz="8" w:space="0" w:color="A6A6A6"/>
              <w:right w:val="single" w:sz="8" w:space="0" w:color="A6A6A6"/>
            </w:tcBorders>
            <w:shd w:val="clear" w:color="auto" w:fill="CCCCCC"/>
            <w:vAlign w:val="center"/>
            <w:hideMark/>
          </w:tcPr>
          <w:p w14:paraId="4CA5DD8D" w14:textId="77777777" w:rsidR="005B2A50" w:rsidRDefault="005B2A50" w:rsidP="00411DA3">
            <w:pPr>
              <w:spacing w:line="254" w:lineRule="auto"/>
              <w:jc w:val="right"/>
              <w:rPr>
                <w:b/>
                <w:bCs/>
                <w:color w:val="000000"/>
                <w:sz w:val="20"/>
                <w:szCs w:val="20"/>
              </w:rPr>
            </w:pPr>
            <w:r>
              <w:rPr>
                <w:b/>
                <w:bCs/>
                <w:color w:val="000000"/>
                <w:sz w:val="20"/>
                <w:szCs w:val="20"/>
              </w:rPr>
              <w:t>4,794,137,829.00</w:t>
            </w:r>
          </w:p>
        </w:tc>
        <w:tc>
          <w:tcPr>
            <w:tcW w:w="1558" w:type="dxa"/>
            <w:tcBorders>
              <w:top w:val="nil"/>
              <w:left w:val="nil"/>
              <w:bottom w:val="single" w:sz="8" w:space="0" w:color="A6A6A6"/>
              <w:right w:val="single" w:sz="8" w:space="0" w:color="A6A6A6"/>
            </w:tcBorders>
            <w:shd w:val="clear" w:color="auto" w:fill="CCCCCC"/>
            <w:vAlign w:val="center"/>
            <w:hideMark/>
          </w:tcPr>
          <w:p w14:paraId="12314B42" w14:textId="77777777" w:rsidR="005B2A50" w:rsidRDefault="005B2A50" w:rsidP="00411DA3">
            <w:pPr>
              <w:spacing w:line="254" w:lineRule="auto"/>
              <w:jc w:val="right"/>
              <w:rPr>
                <w:b/>
                <w:bCs/>
                <w:color w:val="000000"/>
                <w:sz w:val="20"/>
                <w:szCs w:val="20"/>
              </w:rPr>
            </w:pPr>
            <w:r>
              <w:rPr>
                <w:b/>
                <w:bCs/>
                <w:color w:val="000000"/>
                <w:sz w:val="20"/>
                <w:szCs w:val="20"/>
              </w:rPr>
              <w:t>5,099,497,415.00</w:t>
            </w:r>
          </w:p>
        </w:tc>
        <w:tc>
          <w:tcPr>
            <w:tcW w:w="1558" w:type="dxa"/>
            <w:tcBorders>
              <w:top w:val="nil"/>
              <w:left w:val="nil"/>
              <w:bottom w:val="single" w:sz="8" w:space="0" w:color="A6A6A6"/>
              <w:right w:val="single" w:sz="8" w:space="0" w:color="A6A6A6"/>
            </w:tcBorders>
            <w:shd w:val="clear" w:color="auto" w:fill="CCCCCC"/>
            <w:vAlign w:val="center"/>
            <w:hideMark/>
          </w:tcPr>
          <w:p w14:paraId="0820DF13" w14:textId="77777777" w:rsidR="005B2A50" w:rsidRDefault="005B2A50" w:rsidP="00411DA3">
            <w:pPr>
              <w:spacing w:line="254" w:lineRule="auto"/>
              <w:jc w:val="right"/>
              <w:rPr>
                <w:b/>
                <w:bCs/>
                <w:color w:val="000000"/>
                <w:sz w:val="20"/>
                <w:szCs w:val="20"/>
              </w:rPr>
            </w:pPr>
            <w:r>
              <w:rPr>
                <w:b/>
                <w:bCs/>
                <w:color w:val="000000"/>
                <w:sz w:val="20"/>
                <w:szCs w:val="20"/>
              </w:rPr>
              <w:t>5,486,514,322.00</w:t>
            </w:r>
          </w:p>
        </w:tc>
      </w:tr>
    </w:tbl>
    <w:p w14:paraId="441E2361" w14:textId="77777777" w:rsidR="005B2A50" w:rsidRDefault="005B2A50" w:rsidP="005B2A50">
      <w:pPr>
        <w:spacing w:after="200" w:line="360" w:lineRule="auto"/>
        <w:contextualSpacing/>
        <w:jc w:val="center"/>
        <w:rPr>
          <w:rFonts w:eastAsia="Calibri"/>
          <w:b/>
          <w:sz w:val="20"/>
          <w:szCs w:val="20"/>
        </w:rPr>
      </w:pPr>
    </w:p>
    <w:p w14:paraId="5340132F" w14:textId="47AEB44F" w:rsidR="005B2A50" w:rsidRDefault="005B2A50" w:rsidP="005B2A50">
      <w:pPr>
        <w:spacing w:after="200" w:line="360" w:lineRule="auto"/>
        <w:jc w:val="both"/>
        <w:rPr>
          <w:sz w:val="20"/>
          <w:szCs w:val="20"/>
          <w:lang w:eastAsia="es-MX"/>
        </w:rPr>
      </w:pPr>
      <w:r w:rsidRPr="00206500">
        <w:rPr>
          <w:rFonts w:eastAsia="Calibri"/>
          <w:sz w:val="20"/>
          <w:szCs w:val="20"/>
        </w:rPr>
        <w:t>Por lo que se refiere a recursos destinados a Municipios, se estima un incremento equivalente al 6.4%, correspondiente a los recursos de los Fondos de Aportaciones para el Fortalecimiento de los Municipios y de las Demarcaciones Territoriales del Distrito Federal (</w:t>
      </w:r>
      <w:proofErr w:type="spellStart"/>
      <w:r w:rsidRPr="00206500">
        <w:rPr>
          <w:rFonts w:eastAsia="Calibri"/>
          <w:sz w:val="20"/>
          <w:szCs w:val="20"/>
        </w:rPr>
        <w:t>FORTAMUN</w:t>
      </w:r>
      <w:proofErr w:type="spellEnd"/>
      <w:r w:rsidRPr="00206500">
        <w:rPr>
          <w:rFonts w:eastAsia="Calibri"/>
          <w:sz w:val="20"/>
          <w:szCs w:val="20"/>
        </w:rPr>
        <w:t xml:space="preserve">) y </w:t>
      </w:r>
      <w:r w:rsidR="00950F8C" w:rsidRPr="00950F8C">
        <w:rPr>
          <w:rFonts w:eastAsia="Calibri"/>
          <w:sz w:val="20"/>
          <w:szCs w:val="20"/>
        </w:rPr>
        <w:t>del Fondo de Aportaciones para Infraestructura Social Municipal (</w:t>
      </w:r>
      <w:proofErr w:type="spellStart"/>
      <w:r w:rsidR="00950F8C" w:rsidRPr="00950F8C">
        <w:rPr>
          <w:rFonts w:eastAsia="Calibri"/>
          <w:sz w:val="20"/>
          <w:szCs w:val="20"/>
        </w:rPr>
        <w:t>FAISMUN</w:t>
      </w:r>
      <w:proofErr w:type="spellEnd"/>
      <w:r w:rsidR="00950F8C" w:rsidRPr="00950F8C">
        <w:rPr>
          <w:rFonts w:eastAsia="Calibri"/>
          <w:sz w:val="20"/>
          <w:szCs w:val="20"/>
        </w:rPr>
        <w:t>)</w:t>
      </w:r>
      <w:r w:rsidRPr="00206500">
        <w:rPr>
          <w:rFonts w:eastAsia="Calibri"/>
          <w:sz w:val="20"/>
          <w:szCs w:val="20"/>
        </w:rPr>
        <w:t>, así como de Participaciones e Incentivos Derivados de la Colaboración Fiscal y los Ingresos Derivados de Fuentes Locales</w:t>
      </w:r>
      <w:r>
        <w:rPr>
          <w:rFonts w:eastAsia="Calibri"/>
          <w:sz w:val="20"/>
          <w:szCs w:val="20"/>
        </w:rPr>
        <w:t>.</w:t>
      </w:r>
    </w:p>
    <w:p w14:paraId="5C2CCED6" w14:textId="77777777" w:rsidR="005B2A50" w:rsidRDefault="005B2A50" w:rsidP="005B2A50">
      <w:pPr>
        <w:spacing w:after="200" w:line="360" w:lineRule="auto"/>
        <w:jc w:val="center"/>
        <w:rPr>
          <w:rFonts w:eastAsia="Calibri"/>
          <w:b/>
          <w:sz w:val="20"/>
          <w:szCs w:val="20"/>
        </w:rPr>
      </w:pPr>
      <w:r>
        <w:rPr>
          <w:rFonts w:eastAsia="Calibri"/>
          <w:b/>
          <w:sz w:val="20"/>
          <w:szCs w:val="20"/>
        </w:rPr>
        <w:t>PODER EJECUTIVO</w:t>
      </w:r>
    </w:p>
    <w:p w14:paraId="3E07BCA3" w14:textId="77777777" w:rsidR="005B2A50" w:rsidRDefault="005B2A50" w:rsidP="005B2A50">
      <w:pPr>
        <w:spacing w:after="200" w:line="360" w:lineRule="auto"/>
        <w:jc w:val="center"/>
        <w:rPr>
          <w:rFonts w:eastAsia="Calibri"/>
          <w:b/>
          <w:sz w:val="20"/>
          <w:szCs w:val="20"/>
        </w:rPr>
      </w:pPr>
      <w:r>
        <w:rPr>
          <w:rFonts w:eastAsia="Calibri"/>
          <w:b/>
          <w:sz w:val="20"/>
          <w:szCs w:val="20"/>
        </w:rPr>
        <w:t>CLASIFICACIÓN ADMINISTRATIVA</w:t>
      </w:r>
    </w:p>
    <w:p w14:paraId="49DC8B56" w14:textId="77777777" w:rsidR="005B2A50" w:rsidRDefault="005B2A50" w:rsidP="005B2A50">
      <w:pPr>
        <w:spacing w:after="200" w:line="360" w:lineRule="auto"/>
        <w:jc w:val="both"/>
        <w:rPr>
          <w:rFonts w:eastAsia="Calibri"/>
          <w:sz w:val="20"/>
          <w:szCs w:val="20"/>
        </w:rPr>
      </w:pPr>
      <w:r w:rsidRPr="00206500">
        <w:rPr>
          <w:rFonts w:eastAsia="Calibri"/>
          <w:sz w:val="20"/>
          <w:szCs w:val="20"/>
        </w:rPr>
        <w:t>En la clasificación administrativa del presupuesto, presenta una proporción bajo e</w:t>
      </w:r>
      <w:r>
        <w:rPr>
          <w:rFonts w:eastAsia="Calibri"/>
          <w:sz w:val="20"/>
          <w:szCs w:val="20"/>
        </w:rPr>
        <w:t>l siguiente detalle; con el 26.2</w:t>
      </w:r>
      <w:r w:rsidRPr="00206500">
        <w:rPr>
          <w:rFonts w:eastAsia="Calibri"/>
          <w:sz w:val="20"/>
          <w:szCs w:val="20"/>
        </w:rPr>
        <w:t>% del presupuesto para la Administrac</w:t>
      </w:r>
      <w:r>
        <w:rPr>
          <w:rFonts w:eastAsia="Calibri"/>
          <w:sz w:val="20"/>
          <w:szCs w:val="20"/>
        </w:rPr>
        <w:t>ión Pública Centralizada, el 2.6</w:t>
      </w:r>
      <w:r w:rsidRPr="00206500">
        <w:rPr>
          <w:rFonts w:eastAsia="Calibri"/>
          <w:sz w:val="20"/>
          <w:szCs w:val="20"/>
        </w:rPr>
        <w:t>% para la Administración Desconcentrada, el 45.</w:t>
      </w:r>
      <w:r>
        <w:rPr>
          <w:rFonts w:eastAsia="Calibri"/>
          <w:sz w:val="20"/>
          <w:szCs w:val="20"/>
        </w:rPr>
        <w:t>7</w:t>
      </w:r>
      <w:r w:rsidRPr="00206500">
        <w:rPr>
          <w:rFonts w:eastAsia="Calibri"/>
          <w:sz w:val="20"/>
          <w:szCs w:val="20"/>
        </w:rPr>
        <w:t>% para la Administración Pública Descentralizada, el 18.</w:t>
      </w:r>
      <w:r>
        <w:rPr>
          <w:rFonts w:eastAsia="Calibri"/>
          <w:sz w:val="20"/>
          <w:szCs w:val="20"/>
        </w:rPr>
        <w:t>8</w:t>
      </w:r>
      <w:r w:rsidRPr="00206500">
        <w:rPr>
          <w:rFonts w:eastAsia="Calibri"/>
          <w:sz w:val="20"/>
          <w:szCs w:val="20"/>
        </w:rPr>
        <w:t>% para Municipios, y 6.7% para Poderes y Órganos Autónomos, como sigue</w:t>
      </w:r>
      <w:r>
        <w:rPr>
          <w:rFonts w:eastAsia="Calibri"/>
          <w:sz w:val="20"/>
          <w:szCs w:val="20"/>
        </w:rPr>
        <w:t>:</w:t>
      </w:r>
    </w:p>
    <w:p w14:paraId="2CDA3F14" w14:textId="77777777" w:rsidR="005B2A50" w:rsidRDefault="005B2A50" w:rsidP="005B2A50">
      <w:pPr>
        <w:spacing w:after="200" w:line="360" w:lineRule="auto"/>
        <w:contextualSpacing/>
        <w:jc w:val="center"/>
        <w:rPr>
          <w:rFonts w:eastAsia="Calibri"/>
          <w:b/>
          <w:sz w:val="20"/>
          <w:szCs w:val="20"/>
        </w:rPr>
      </w:pPr>
      <w:r>
        <w:rPr>
          <w:rFonts w:eastAsia="Calibri"/>
          <w:b/>
          <w:sz w:val="20"/>
          <w:szCs w:val="20"/>
        </w:rPr>
        <w:t>Clasificación Administrativa</w:t>
      </w:r>
    </w:p>
    <w:p w14:paraId="4BB2BE21" w14:textId="77777777" w:rsidR="005B2A50" w:rsidRDefault="005B2A50" w:rsidP="005B2A50">
      <w:pPr>
        <w:spacing w:after="200" w:line="360" w:lineRule="auto"/>
        <w:contextualSpacing/>
        <w:jc w:val="center"/>
        <w:rPr>
          <w:rFonts w:eastAsia="Calibri"/>
          <w:b/>
          <w:sz w:val="20"/>
          <w:szCs w:val="20"/>
        </w:rPr>
      </w:pPr>
    </w:p>
    <w:tbl>
      <w:tblPr>
        <w:tblW w:w="5158" w:type="dxa"/>
        <w:jc w:val="center"/>
        <w:tblCellMar>
          <w:left w:w="70" w:type="dxa"/>
          <w:right w:w="70" w:type="dxa"/>
        </w:tblCellMar>
        <w:tblLook w:val="04A0" w:firstRow="1" w:lastRow="0" w:firstColumn="1" w:lastColumn="0" w:noHBand="0" w:noVBand="1"/>
      </w:tblPr>
      <w:tblGrid>
        <w:gridCol w:w="2365"/>
        <w:gridCol w:w="1640"/>
        <w:gridCol w:w="1153"/>
      </w:tblGrid>
      <w:tr w:rsidR="005B2A50" w14:paraId="0C1AFC7A" w14:textId="77777777" w:rsidTr="00411DA3">
        <w:trPr>
          <w:trHeight w:val="960"/>
          <w:tblHeader/>
          <w:jc w:val="center"/>
        </w:trPr>
        <w:tc>
          <w:tcPr>
            <w:tcW w:w="2365" w:type="dxa"/>
            <w:tcBorders>
              <w:top w:val="single" w:sz="8" w:space="0" w:color="A6A6A6"/>
              <w:left w:val="single" w:sz="8" w:space="0" w:color="A6A6A6"/>
              <w:bottom w:val="nil"/>
              <w:right w:val="single" w:sz="8" w:space="0" w:color="A6A6A6"/>
            </w:tcBorders>
            <w:shd w:val="clear" w:color="auto" w:fill="CCCCCC"/>
            <w:vAlign w:val="center"/>
            <w:hideMark/>
          </w:tcPr>
          <w:p w14:paraId="2334C5FE" w14:textId="77777777" w:rsidR="005B2A50" w:rsidRDefault="005B2A50" w:rsidP="00411DA3">
            <w:pPr>
              <w:spacing w:line="360" w:lineRule="auto"/>
              <w:jc w:val="center"/>
              <w:rPr>
                <w:b/>
                <w:bCs/>
                <w:sz w:val="20"/>
                <w:szCs w:val="20"/>
                <w:lang w:eastAsia="es-MX"/>
              </w:rPr>
            </w:pPr>
            <w:r>
              <w:rPr>
                <w:b/>
                <w:bCs/>
                <w:sz w:val="20"/>
                <w:szCs w:val="20"/>
                <w:lang w:eastAsia="es-MX"/>
              </w:rPr>
              <w:t>RAMOS PRESUPUESTARIOS</w:t>
            </w:r>
          </w:p>
        </w:tc>
        <w:tc>
          <w:tcPr>
            <w:tcW w:w="1640" w:type="dxa"/>
            <w:tcBorders>
              <w:top w:val="single" w:sz="8" w:space="0" w:color="A6A6A6"/>
              <w:left w:val="nil"/>
              <w:bottom w:val="nil"/>
              <w:right w:val="single" w:sz="8" w:space="0" w:color="A6A6A6"/>
            </w:tcBorders>
            <w:shd w:val="clear" w:color="auto" w:fill="CCCCCC"/>
            <w:vAlign w:val="center"/>
            <w:hideMark/>
          </w:tcPr>
          <w:p w14:paraId="3A9C581F" w14:textId="77777777" w:rsidR="005B2A50" w:rsidRDefault="005B2A50" w:rsidP="00411DA3">
            <w:pPr>
              <w:spacing w:line="360" w:lineRule="auto"/>
              <w:jc w:val="center"/>
              <w:rPr>
                <w:b/>
                <w:bCs/>
                <w:sz w:val="20"/>
                <w:szCs w:val="20"/>
                <w:lang w:eastAsia="es-MX"/>
              </w:rPr>
            </w:pPr>
            <w:r>
              <w:rPr>
                <w:b/>
                <w:bCs/>
                <w:sz w:val="20"/>
                <w:szCs w:val="20"/>
                <w:lang w:eastAsia="es-MX"/>
              </w:rPr>
              <w:t xml:space="preserve">MONTO </w:t>
            </w:r>
          </w:p>
          <w:p w14:paraId="1AED759B" w14:textId="77777777" w:rsidR="005B2A50" w:rsidRDefault="005B2A50" w:rsidP="00411DA3">
            <w:pPr>
              <w:spacing w:line="360" w:lineRule="auto"/>
              <w:jc w:val="center"/>
              <w:rPr>
                <w:b/>
                <w:bCs/>
                <w:sz w:val="20"/>
                <w:szCs w:val="20"/>
                <w:lang w:eastAsia="es-MX"/>
              </w:rPr>
            </w:pPr>
            <w:r>
              <w:rPr>
                <w:b/>
                <w:bCs/>
                <w:sz w:val="20"/>
                <w:szCs w:val="20"/>
                <w:lang w:eastAsia="es-MX"/>
              </w:rPr>
              <w:t>($)</w:t>
            </w:r>
          </w:p>
        </w:tc>
        <w:tc>
          <w:tcPr>
            <w:tcW w:w="1153" w:type="dxa"/>
            <w:tcBorders>
              <w:top w:val="single" w:sz="8" w:space="0" w:color="A6A6A6"/>
              <w:left w:val="nil"/>
              <w:bottom w:val="nil"/>
              <w:right w:val="single" w:sz="8" w:space="0" w:color="A6A6A6"/>
            </w:tcBorders>
            <w:shd w:val="clear" w:color="auto" w:fill="CCCCCC"/>
            <w:vAlign w:val="center"/>
            <w:hideMark/>
          </w:tcPr>
          <w:p w14:paraId="22C574B5" w14:textId="77777777" w:rsidR="005B2A50" w:rsidRDefault="005B2A50" w:rsidP="00411DA3">
            <w:pPr>
              <w:spacing w:line="360" w:lineRule="auto"/>
              <w:jc w:val="center"/>
              <w:rPr>
                <w:b/>
                <w:bCs/>
                <w:sz w:val="20"/>
                <w:szCs w:val="20"/>
                <w:lang w:eastAsia="es-MX"/>
              </w:rPr>
            </w:pPr>
            <w:r>
              <w:rPr>
                <w:b/>
                <w:bCs/>
                <w:sz w:val="20"/>
                <w:szCs w:val="20"/>
                <w:lang w:eastAsia="es-MX"/>
              </w:rPr>
              <w:t>%</w:t>
            </w:r>
          </w:p>
        </w:tc>
      </w:tr>
      <w:tr w:rsidR="005B2A50" w14:paraId="38ABDDB2" w14:textId="77777777" w:rsidTr="00411DA3">
        <w:trPr>
          <w:trHeight w:val="315"/>
          <w:jc w:val="center"/>
        </w:trPr>
        <w:tc>
          <w:tcPr>
            <w:tcW w:w="2365" w:type="dxa"/>
            <w:tcBorders>
              <w:top w:val="single" w:sz="8" w:space="0" w:color="A6A6A6"/>
              <w:left w:val="single" w:sz="8" w:space="0" w:color="A6A6A6"/>
              <w:bottom w:val="single" w:sz="8" w:space="0" w:color="A6A6A6"/>
              <w:right w:val="single" w:sz="8" w:space="0" w:color="A6A6A6"/>
            </w:tcBorders>
            <w:vAlign w:val="center"/>
            <w:hideMark/>
          </w:tcPr>
          <w:p w14:paraId="02549B0F" w14:textId="77777777" w:rsidR="005B2A50" w:rsidRDefault="005B2A50" w:rsidP="00411DA3">
            <w:pPr>
              <w:spacing w:line="252" w:lineRule="auto"/>
              <w:jc w:val="both"/>
              <w:rPr>
                <w:color w:val="000000"/>
                <w:sz w:val="20"/>
                <w:szCs w:val="20"/>
                <w:lang w:val="es-MX" w:eastAsia="es-MX"/>
              </w:rPr>
            </w:pPr>
            <w:r>
              <w:rPr>
                <w:color w:val="000000"/>
                <w:sz w:val="20"/>
                <w:szCs w:val="20"/>
              </w:rPr>
              <w:t xml:space="preserve">Centralizadas </w:t>
            </w:r>
          </w:p>
        </w:tc>
        <w:tc>
          <w:tcPr>
            <w:tcW w:w="1640" w:type="dxa"/>
            <w:tcBorders>
              <w:top w:val="single" w:sz="8" w:space="0" w:color="A6A6A6"/>
              <w:left w:val="nil"/>
              <w:bottom w:val="single" w:sz="8" w:space="0" w:color="A6A6A6"/>
              <w:right w:val="single" w:sz="8" w:space="0" w:color="A6A6A6"/>
            </w:tcBorders>
            <w:vAlign w:val="center"/>
            <w:hideMark/>
          </w:tcPr>
          <w:p w14:paraId="02CD2D8C" w14:textId="77777777" w:rsidR="005B2A50" w:rsidRDefault="005B2A50" w:rsidP="00411DA3">
            <w:pPr>
              <w:jc w:val="right"/>
              <w:rPr>
                <w:color w:val="000000"/>
                <w:sz w:val="20"/>
                <w:szCs w:val="20"/>
                <w:lang w:val="es-MX" w:eastAsia="es-MX"/>
              </w:rPr>
            </w:pPr>
            <w:r>
              <w:rPr>
                <w:color w:val="000000"/>
                <w:sz w:val="20"/>
                <w:szCs w:val="20"/>
              </w:rPr>
              <w:t>7,636,242,684.00</w:t>
            </w:r>
          </w:p>
        </w:tc>
        <w:tc>
          <w:tcPr>
            <w:tcW w:w="1153" w:type="dxa"/>
            <w:tcBorders>
              <w:top w:val="single" w:sz="8" w:space="0" w:color="A6A6A6"/>
              <w:left w:val="nil"/>
              <w:bottom w:val="single" w:sz="8" w:space="0" w:color="A6A6A6"/>
              <w:right w:val="single" w:sz="8" w:space="0" w:color="A6A6A6"/>
            </w:tcBorders>
            <w:vAlign w:val="center"/>
            <w:hideMark/>
          </w:tcPr>
          <w:p w14:paraId="145915F4" w14:textId="77777777" w:rsidR="005B2A50" w:rsidRDefault="005B2A50" w:rsidP="00411DA3">
            <w:pPr>
              <w:jc w:val="center"/>
              <w:rPr>
                <w:color w:val="000000"/>
                <w:sz w:val="20"/>
                <w:szCs w:val="20"/>
              </w:rPr>
            </w:pPr>
            <w:r>
              <w:rPr>
                <w:color w:val="000000"/>
                <w:sz w:val="20"/>
                <w:szCs w:val="20"/>
              </w:rPr>
              <w:t>26.2</w:t>
            </w:r>
          </w:p>
        </w:tc>
      </w:tr>
      <w:tr w:rsidR="005B2A50" w14:paraId="1C9F41BE" w14:textId="77777777" w:rsidTr="00411DA3">
        <w:trPr>
          <w:trHeight w:val="315"/>
          <w:jc w:val="center"/>
        </w:trPr>
        <w:tc>
          <w:tcPr>
            <w:tcW w:w="2365" w:type="dxa"/>
            <w:tcBorders>
              <w:top w:val="nil"/>
              <w:left w:val="single" w:sz="8" w:space="0" w:color="A6A6A6"/>
              <w:bottom w:val="single" w:sz="8" w:space="0" w:color="A6A6A6"/>
              <w:right w:val="single" w:sz="8" w:space="0" w:color="A6A6A6"/>
            </w:tcBorders>
            <w:vAlign w:val="center"/>
            <w:hideMark/>
          </w:tcPr>
          <w:p w14:paraId="3464C063" w14:textId="77777777" w:rsidR="005B2A50" w:rsidRDefault="005B2A50" w:rsidP="00411DA3">
            <w:pPr>
              <w:spacing w:line="252" w:lineRule="auto"/>
              <w:jc w:val="both"/>
              <w:rPr>
                <w:color w:val="000000"/>
                <w:sz w:val="20"/>
                <w:szCs w:val="20"/>
              </w:rPr>
            </w:pPr>
            <w:r>
              <w:rPr>
                <w:color w:val="000000"/>
                <w:sz w:val="20"/>
                <w:szCs w:val="20"/>
              </w:rPr>
              <w:t xml:space="preserve">Desconcentradas </w:t>
            </w:r>
          </w:p>
        </w:tc>
        <w:tc>
          <w:tcPr>
            <w:tcW w:w="1640" w:type="dxa"/>
            <w:tcBorders>
              <w:top w:val="nil"/>
              <w:left w:val="nil"/>
              <w:bottom w:val="single" w:sz="8" w:space="0" w:color="A6A6A6"/>
              <w:right w:val="single" w:sz="8" w:space="0" w:color="A6A6A6"/>
            </w:tcBorders>
            <w:vAlign w:val="center"/>
            <w:hideMark/>
          </w:tcPr>
          <w:p w14:paraId="18356B9C" w14:textId="77777777" w:rsidR="005B2A50" w:rsidRDefault="005B2A50" w:rsidP="00411DA3">
            <w:pPr>
              <w:jc w:val="right"/>
              <w:rPr>
                <w:color w:val="000000"/>
                <w:sz w:val="20"/>
                <w:szCs w:val="20"/>
              </w:rPr>
            </w:pPr>
            <w:r>
              <w:rPr>
                <w:color w:val="000000"/>
                <w:sz w:val="20"/>
                <w:szCs w:val="20"/>
              </w:rPr>
              <w:t>767,981,800.00</w:t>
            </w:r>
          </w:p>
        </w:tc>
        <w:tc>
          <w:tcPr>
            <w:tcW w:w="1153" w:type="dxa"/>
            <w:tcBorders>
              <w:top w:val="nil"/>
              <w:left w:val="nil"/>
              <w:bottom w:val="single" w:sz="8" w:space="0" w:color="A6A6A6"/>
              <w:right w:val="single" w:sz="8" w:space="0" w:color="A6A6A6"/>
            </w:tcBorders>
            <w:vAlign w:val="center"/>
            <w:hideMark/>
          </w:tcPr>
          <w:p w14:paraId="546E0AC0" w14:textId="77777777" w:rsidR="005B2A50" w:rsidRDefault="005B2A50" w:rsidP="00411DA3">
            <w:pPr>
              <w:jc w:val="center"/>
              <w:rPr>
                <w:color w:val="000000"/>
                <w:sz w:val="20"/>
                <w:szCs w:val="20"/>
              </w:rPr>
            </w:pPr>
            <w:r>
              <w:rPr>
                <w:color w:val="000000"/>
                <w:sz w:val="20"/>
                <w:szCs w:val="20"/>
              </w:rPr>
              <w:t>2.6</w:t>
            </w:r>
          </w:p>
        </w:tc>
      </w:tr>
      <w:tr w:rsidR="005B2A50" w14:paraId="455E4AB7" w14:textId="77777777" w:rsidTr="00411DA3">
        <w:trPr>
          <w:trHeight w:val="315"/>
          <w:jc w:val="center"/>
        </w:trPr>
        <w:tc>
          <w:tcPr>
            <w:tcW w:w="2365" w:type="dxa"/>
            <w:tcBorders>
              <w:top w:val="nil"/>
              <w:left w:val="single" w:sz="8" w:space="0" w:color="A6A6A6"/>
              <w:bottom w:val="single" w:sz="8" w:space="0" w:color="A6A6A6"/>
              <w:right w:val="single" w:sz="8" w:space="0" w:color="A6A6A6"/>
            </w:tcBorders>
            <w:vAlign w:val="center"/>
            <w:hideMark/>
          </w:tcPr>
          <w:p w14:paraId="24A9CF45" w14:textId="77777777" w:rsidR="005B2A50" w:rsidRDefault="005B2A50" w:rsidP="00411DA3">
            <w:pPr>
              <w:spacing w:line="252" w:lineRule="auto"/>
              <w:jc w:val="both"/>
              <w:rPr>
                <w:color w:val="000000"/>
                <w:sz w:val="20"/>
                <w:szCs w:val="20"/>
              </w:rPr>
            </w:pPr>
            <w:r>
              <w:rPr>
                <w:color w:val="000000"/>
                <w:sz w:val="20"/>
                <w:szCs w:val="20"/>
              </w:rPr>
              <w:t xml:space="preserve">Descentralizadas </w:t>
            </w:r>
          </w:p>
        </w:tc>
        <w:tc>
          <w:tcPr>
            <w:tcW w:w="1640" w:type="dxa"/>
            <w:tcBorders>
              <w:top w:val="nil"/>
              <w:left w:val="nil"/>
              <w:bottom w:val="single" w:sz="8" w:space="0" w:color="A6A6A6"/>
              <w:right w:val="single" w:sz="8" w:space="0" w:color="A6A6A6"/>
            </w:tcBorders>
            <w:vAlign w:val="center"/>
            <w:hideMark/>
          </w:tcPr>
          <w:p w14:paraId="21815B37" w14:textId="77777777" w:rsidR="005B2A50" w:rsidRDefault="005B2A50" w:rsidP="00411DA3">
            <w:pPr>
              <w:jc w:val="right"/>
              <w:rPr>
                <w:color w:val="000000"/>
                <w:sz w:val="20"/>
                <w:szCs w:val="20"/>
              </w:rPr>
            </w:pPr>
            <w:r>
              <w:rPr>
                <w:color w:val="000000"/>
                <w:sz w:val="20"/>
                <w:szCs w:val="20"/>
              </w:rPr>
              <w:t>13,281,349,462.00</w:t>
            </w:r>
          </w:p>
        </w:tc>
        <w:tc>
          <w:tcPr>
            <w:tcW w:w="1153" w:type="dxa"/>
            <w:tcBorders>
              <w:top w:val="nil"/>
              <w:left w:val="nil"/>
              <w:bottom w:val="single" w:sz="8" w:space="0" w:color="A6A6A6"/>
              <w:right w:val="single" w:sz="8" w:space="0" w:color="A6A6A6"/>
            </w:tcBorders>
            <w:vAlign w:val="center"/>
            <w:hideMark/>
          </w:tcPr>
          <w:p w14:paraId="7A951BF4" w14:textId="77777777" w:rsidR="005B2A50" w:rsidRDefault="005B2A50" w:rsidP="00411DA3">
            <w:pPr>
              <w:jc w:val="center"/>
              <w:rPr>
                <w:color w:val="000000"/>
                <w:sz w:val="20"/>
                <w:szCs w:val="20"/>
              </w:rPr>
            </w:pPr>
            <w:r>
              <w:rPr>
                <w:color w:val="000000"/>
                <w:sz w:val="20"/>
                <w:szCs w:val="20"/>
              </w:rPr>
              <w:t>45.7</w:t>
            </w:r>
          </w:p>
        </w:tc>
      </w:tr>
      <w:tr w:rsidR="005B2A50" w14:paraId="180F8831" w14:textId="77777777" w:rsidTr="004B3C0F">
        <w:trPr>
          <w:trHeight w:val="405"/>
          <w:jc w:val="center"/>
        </w:trPr>
        <w:tc>
          <w:tcPr>
            <w:tcW w:w="2365" w:type="dxa"/>
            <w:tcBorders>
              <w:top w:val="nil"/>
              <w:left w:val="single" w:sz="8" w:space="0" w:color="A6A6A6"/>
              <w:bottom w:val="single" w:sz="8" w:space="0" w:color="A6A6A6"/>
              <w:right w:val="single" w:sz="8" w:space="0" w:color="A6A6A6"/>
            </w:tcBorders>
            <w:vAlign w:val="center"/>
            <w:hideMark/>
          </w:tcPr>
          <w:p w14:paraId="4D6517AF" w14:textId="77777777" w:rsidR="005B2A50" w:rsidRDefault="005B2A50" w:rsidP="00411DA3">
            <w:pPr>
              <w:spacing w:line="252" w:lineRule="auto"/>
              <w:jc w:val="both"/>
              <w:rPr>
                <w:color w:val="000000"/>
                <w:sz w:val="20"/>
                <w:szCs w:val="20"/>
              </w:rPr>
            </w:pPr>
            <w:r>
              <w:rPr>
                <w:color w:val="000000"/>
                <w:sz w:val="20"/>
                <w:szCs w:val="20"/>
              </w:rPr>
              <w:t>Poder Legislativo y Judicial</w:t>
            </w:r>
          </w:p>
        </w:tc>
        <w:tc>
          <w:tcPr>
            <w:tcW w:w="1640" w:type="dxa"/>
            <w:tcBorders>
              <w:top w:val="nil"/>
              <w:left w:val="nil"/>
              <w:bottom w:val="single" w:sz="8" w:space="0" w:color="A6A6A6"/>
              <w:right w:val="single" w:sz="8" w:space="0" w:color="A6A6A6"/>
            </w:tcBorders>
            <w:vAlign w:val="center"/>
            <w:hideMark/>
          </w:tcPr>
          <w:p w14:paraId="3A4A802C" w14:textId="77777777" w:rsidR="005B2A50" w:rsidRDefault="005B2A50" w:rsidP="00411DA3">
            <w:pPr>
              <w:jc w:val="right"/>
              <w:rPr>
                <w:color w:val="000000"/>
                <w:sz w:val="20"/>
                <w:szCs w:val="20"/>
              </w:rPr>
            </w:pPr>
            <w:r>
              <w:rPr>
                <w:color w:val="000000"/>
                <w:sz w:val="20"/>
                <w:szCs w:val="20"/>
              </w:rPr>
              <w:t>990,323,352.00</w:t>
            </w:r>
          </w:p>
        </w:tc>
        <w:tc>
          <w:tcPr>
            <w:tcW w:w="1153" w:type="dxa"/>
            <w:tcBorders>
              <w:top w:val="nil"/>
              <w:left w:val="nil"/>
              <w:bottom w:val="single" w:sz="8" w:space="0" w:color="A6A6A6"/>
              <w:right w:val="single" w:sz="8" w:space="0" w:color="A6A6A6"/>
            </w:tcBorders>
            <w:vAlign w:val="center"/>
            <w:hideMark/>
          </w:tcPr>
          <w:p w14:paraId="5723EB87" w14:textId="77777777" w:rsidR="005B2A50" w:rsidRDefault="005B2A50" w:rsidP="00411DA3">
            <w:pPr>
              <w:jc w:val="center"/>
              <w:rPr>
                <w:color w:val="000000"/>
                <w:sz w:val="20"/>
                <w:szCs w:val="20"/>
              </w:rPr>
            </w:pPr>
            <w:r>
              <w:rPr>
                <w:color w:val="000000"/>
                <w:sz w:val="20"/>
                <w:szCs w:val="20"/>
              </w:rPr>
              <w:t>3.4</w:t>
            </w:r>
          </w:p>
        </w:tc>
      </w:tr>
      <w:tr w:rsidR="005B2A50" w14:paraId="1E15D535" w14:textId="77777777" w:rsidTr="00411DA3">
        <w:trPr>
          <w:trHeight w:val="315"/>
          <w:jc w:val="center"/>
        </w:trPr>
        <w:tc>
          <w:tcPr>
            <w:tcW w:w="2365" w:type="dxa"/>
            <w:tcBorders>
              <w:top w:val="nil"/>
              <w:left w:val="single" w:sz="8" w:space="0" w:color="A6A6A6"/>
              <w:bottom w:val="single" w:sz="8" w:space="0" w:color="A6A6A6"/>
              <w:right w:val="single" w:sz="8" w:space="0" w:color="A6A6A6"/>
            </w:tcBorders>
            <w:vAlign w:val="center"/>
            <w:hideMark/>
          </w:tcPr>
          <w:p w14:paraId="26E873BA" w14:textId="77777777" w:rsidR="005B2A50" w:rsidRDefault="005B2A50" w:rsidP="00411DA3">
            <w:pPr>
              <w:spacing w:line="252" w:lineRule="auto"/>
              <w:jc w:val="both"/>
              <w:rPr>
                <w:color w:val="000000"/>
                <w:sz w:val="20"/>
                <w:szCs w:val="20"/>
              </w:rPr>
            </w:pPr>
            <w:r>
              <w:rPr>
                <w:color w:val="000000"/>
                <w:sz w:val="20"/>
                <w:szCs w:val="20"/>
              </w:rPr>
              <w:t>Órganos Autónomos</w:t>
            </w:r>
          </w:p>
        </w:tc>
        <w:tc>
          <w:tcPr>
            <w:tcW w:w="1640" w:type="dxa"/>
            <w:tcBorders>
              <w:top w:val="nil"/>
              <w:left w:val="nil"/>
              <w:bottom w:val="single" w:sz="8" w:space="0" w:color="A6A6A6"/>
              <w:right w:val="single" w:sz="8" w:space="0" w:color="A6A6A6"/>
            </w:tcBorders>
            <w:vAlign w:val="center"/>
            <w:hideMark/>
          </w:tcPr>
          <w:p w14:paraId="3EAC7BB0" w14:textId="77777777" w:rsidR="005B2A50" w:rsidRDefault="005B2A50" w:rsidP="00411DA3">
            <w:pPr>
              <w:jc w:val="right"/>
              <w:rPr>
                <w:color w:val="000000"/>
                <w:sz w:val="20"/>
                <w:szCs w:val="20"/>
              </w:rPr>
            </w:pPr>
            <w:r>
              <w:rPr>
                <w:color w:val="000000"/>
                <w:sz w:val="20"/>
                <w:szCs w:val="20"/>
              </w:rPr>
              <w:t>967,471,773.00</w:t>
            </w:r>
          </w:p>
        </w:tc>
        <w:tc>
          <w:tcPr>
            <w:tcW w:w="1153" w:type="dxa"/>
            <w:tcBorders>
              <w:top w:val="nil"/>
              <w:left w:val="nil"/>
              <w:bottom w:val="single" w:sz="8" w:space="0" w:color="A6A6A6"/>
              <w:right w:val="single" w:sz="8" w:space="0" w:color="A6A6A6"/>
            </w:tcBorders>
            <w:vAlign w:val="center"/>
            <w:hideMark/>
          </w:tcPr>
          <w:p w14:paraId="7A11F5F6" w14:textId="77777777" w:rsidR="005B2A50" w:rsidRDefault="005B2A50" w:rsidP="00411DA3">
            <w:pPr>
              <w:jc w:val="center"/>
              <w:rPr>
                <w:color w:val="000000"/>
                <w:sz w:val="20"/>
                <w:szCs w:val="20"/>
              </w:rPr>
            </w:pPr>
            <w:r>
              <w:rPr>
                <w:color w:val="000000"/>
                <w:sz w:val="20"/>
                <w:szCs w:val="20"/>
              </w:rPr>
              <w:t>3.3</w:t>
            </w:r>
          </w:p>
        </w:tc>
      </w:tr>
      <w:tr w:rsidR="005B2A50" w14:paraId="120B392D" w14:textId="77777777" w:rsidTr="00411DA3">
        <w:trPr>
          <w:trHeight w:val="315"/>
          <w:jc w:val="center"/>
        </w:trPr>
        <w:tc>
          <w:tcPr>
            <w:tcW w:w="2365" w:type="dxa"/>
            <w:tcBorders>
              <w:top w:val="nil"/>
              <w:left w:val="single" w:sz="8" w:space="0" w:color="A6A6A6"/>
              <w:bottom w:val="single" w:sz="8" w:space="0" w:color="A6A6A6"/>
              <w:right w:val="single" w:sz="8" w:space="0" w:color="A6A6A6"/>
            </w:tcBorders>
            <w:vAlign w:val="center"/>
            <w:hideMark/>
          </w:tcPr>
          <w:p w14:paraId="46A10907" w14:textId="77777777" w:rsidR="005B2A50" w:rsidRDefault="005B2A50" w:rsidP="00411DA3">
            <w:pPr>
              <w:spacing w:line="252" w:lineRule="auto"/>
              <w:jc w:val="both"/>
              <w:rPr>
                <w:color w:val="000000"/>
                <w:sz w:val="20"/>
                <w:szCs w:val="20"/>
              </w:rPr>
            </w:pPr>
            <w:r>
              <w:rPr>
                <w:color w:val="000000"/>
                <w:sz w:val="20"/>
                <w:szCs w:val="20"/>
              </w:rPr>
              <w:t xml:space="preserve">Municipios </w:t>
            </w:r>
          </w:p>
        </w:tc>
        <w:tc>
          <w:tcPr>
            <w:tcW w:w="1640" w:type="dxa"/>
            <w:tcBorders>
              <w:top w:val="nil"/>
              <w:left w:val="nil"/>
              <w:bottom w:val="single" w:sz="8" w:space="0" w:color="A6A6A6"/>
              <w:right w:val="single" w:sz="8" w:space="0" w:color="A6A6A6"/>
            </w:tcBorders>
            <w:vAlign w:val="center"/>
            <w:hideMark/>
          </w:tcPr>
          <w:p w14:paraId="2AE422EB" w14:textId="77777777" w:rsidR="005B2A50" w:rsidRDefault="005B2A50" w:rsidP="00411DA3">
            <w:pPr>
              <w:jc w:val="right"/>
              <w:rPr>
                <w:color w:val="000000"/>
                <w:sz w:val="20"/>
                <w:szCs w:val="20"/>
              </w:rPr>
            </w:pPr>
            <w:r>
              <w:rPr>
                <w:color w:val="000000"/>
                <w:sz w:val="20"/>
                <w:szCs w:val="20"/>
              </w:rPr>
              <w:t>5,486,514,322.00</w:t>
            </w:r>
          </w:p>
        </w:tc>
        <w:tc>
          <w:tcPr>
            <w:tcW w:w="1153" w:type="dxa"/>
            <w:tcBorders>
              <w:top w:val="nil"/>
              <w:left w:val="nil"/>
              <w:bottom w:val="single" w:sz="8" w:space="0" w:color="A6A6A6"/>
              <w:right w:val="single" w:sz="8" w:space="0" w:color="A6A6A6"/>
            </w:tcBorders>
            <w:vAlign w:val="center"/>
            <w:hideMark/>
          </w:tcPr>
          <w:p w14:paraId="0D1C4EE4" w14:textId="77777777" w:rsidR="005B2A50" w:rsidRDefault="005B2A50" w:rsidP="00411DA3">
            <w:pPr>
              <w:jc w:val="center"/>
              <w:rPr>
                <w:color w:val="000000"/>
                <w:sz w:val="20"/>
                <w:szCs w:val="20"/>
              </w:rPr>
            </w:pPr>
            <w:r>
              <w:rPr>
                <w:color w:val="000000"/>
                <w:sz w:val="20"/>
                <w:szCs w:val="20"/>
              </w:rPr>
              <w:t>18.8</w:t>
            </w:r>
          </w:p>
        </w:tc>
      </w:tr>
      <w:tr w:rsidR="005B2A50" w14:paraId="0D1C135E" w14:textId="77777777" w:rsidTr="00411DA3">
        <w:trPr>
          <w:trHeight w:val="330"/>
          <w:jc w:val="center"/>
        </w:trPr>
        <w:tc>
          <w:tcPr>
            <w:tcW w:w="2365" w:type="dxa"/>
            <w:tcBorders>
              <w:top w:val="nil"/>
              <w:left w:val="single" w:sz="8" w:space="0" w:color="A6A6A6"/>
              <w:bottom w:val="single" w:sz="8" w:space="0" w:color="A6A6A6"/>
              <w:right w:val="single" w:sz="8" w:space="0" w:color="A6A6A6"/>
            </w:tcBorders>
            <w:shd w:val="clear" w:color="auto" w:fill="CCCCCC"/>
            <w:vAlign w:val="center"/>
            <w:hideMark/>
          </w:tcPr>
          <w:p w14:paraId="539D3D9A" w14:textId="77777777" w:rsidR="005B2A50" w:rsidRDefault="005B2A50" w:rsidP="00411DA3">
            <w:pPr>
              <w:spacing w:line="252" w:lineRule="auto"/>
              <w:jc w:val="center"/>
              <w:rPr>
                <w:b/>
                <w:bCs/>
                <w:color w:val="000000"/>
                <w:sz w:val="20"/>
                <w:szCs w:val="20"/>
              </w:rPr>
            </w:pPr>
            <w:r>
              <w:rPr>
                <w:b/>
                <w:bCs/>
                <w:color w:val="000000"/>
                <w:sz w:val="20"/>
                <w:szCs w:val="20"/>
              </w:rPr>
              <w:t>TOTAL</w:t>
            </w:r>
          </w:p>
        </w:tc>
        <w:tc>
          <w:tcPr>
            <w:tcW w:w="1640" w:type="dxa"/>
            <w:tcBorders>
              <w:top w:val="nil"/>
              <w:left w:val="nil"/>
              <w:bottom w:val="single" w:sz="8" w:space="0" w:color="A6A6A6"/>
              <w:right w:val="single" w:sz="8" w:space="0" w:color="A6A6A6"/>
            </w:tcBorders>
            <w:shd w:val="clear" w:color="auto" w:fill="CCCCCC"/>
            <w:vAlign w:val="center"/>
            <w:hideMark/>
          </w:tcPr>
          <w:p w14:paraId="52511702" w14:textId="77777777" w:rsidR="005B2A50" w:rsidRDefault="005B2A50" w:rsidP="00411DA3">
            <w:pPr>
              <w:jc w:val="right"/>
              <w:rPr>
                <w:b/>
                <w:bCs/>
                <w:color w:val="000000"/>
                <w:sz w:val="20"/>
                <w:szCs w:val="20"/>
                <w:lang w:val="es-MX" w:eastAsia="es-MX"/>
              </w:rPr>
            </w:pPr>
            <w:r>
              <w:rPr>
                <w:b/>
                <w:bCs/>
                <w:color w:val="000000"/>
                <w:sz w:val="20"/>
                <w:szCs w:val="20"/>
              </w:rPr>
              <w:t>29,129,883,393.00</w:t>
            </w:r>
          </w:p>
        </w:tc>
        <w:tc>
          <w:tcPr>
            <w:tcW w:w="1153" w:type="dxa"/>
            <w:tcBorders>
              <w:top w:val="nil"/>
              <w:left w:val="nil"/>
              <w:bottom w:val="single" w:sz="8" w:space="0" w:color="A6A6A6"/>
              <w:right w:val="single" w:sz="8" w:space="0" w:color="A6A6A6"/>
            </w:tcBorders>
            <w:shd w:val="clear" w:color="auto" w:fill="CCCCCC"/>
            <w:vAlign w:val="center"/>
            <w:hideMark/>
          </w:tcPr>
          <w:p w14:paraId="0BEC8E4F" w14:textId="77777777" w:rsidR="005B2A50" w:rsidRDefault="005B2A50" w:rsidP="00411DA3">
            <w:pPr>
              <w:jc w:val="center"/>
              <w:rPr>
                <w:b/>
                <w:bCs/>
                <w:color w:val="000000"/>
                <w:sz w:val="20"/>
                <w:szCs w:val="20"/>
              </w:rPr>
            </w:pPr>
            <w:r>
              <w:rPr>
                <w:b/>
                <w:bCs/>
                <w:color w:val="000000"/>
                <w:sz w:val="20"/>
                <w:szCs w:val="20"/>
              </w:rPr>
              <w:t>100</w:t>
            </w:r>
          </w:p>
        </w:tc>
      </w:tr>
    </w:tbl>
    <w:p w14:paraId="091FA623" w14:textId="77777777" w:rsidR="005B2A50" w:rsidRDefault="005B2A50" w:rsidP="005B2A50">
      <w:pPr>
        <w:spacing w:after="200" w:line="360" w:lineRule="auto"/>
        <w:contextualSpacing/>
        <w:jc w:val="center"/>
        <w:rPr>
          <w:rFonts w:eastAsia="Calibri"/>
          <w:b/>
          <w:sz w:val="20"/>
          <w:szCs w:val="20"/>
        </w:rPr>
      </w:pPr>
    </w:p>
    <w:p w14:paraId="7DFA71CD" w14:textId="77777777" w:rsidR="005B2A50" w:rsidRPr="009D1AFB" w:rsidRDefault="005B2A50" w:rsidP="005B2A50">
      <w:pPr>
        <w:spacing w:after="200" w:line="360" w:lineRule="auto"/>
        <w:jc w:val="both"/>
        <w:rPr>
          <w:rFonts w:eastAsia="Calibri"/>
          <w:sz w:val="20"/>
          <w:szCs w:val="20"/>
        </w:rPr>
      </w:pPr>
      <w:r w:rsidRPr="009D1AFB">
        <w:rPr>
          <w:rFonts w:eastAsia="Calibri"/>
          <w:sz w:val="20"/>
          <w:szCs w:val="20"/>
        </w:rPr>
        <w:lastRenderedPageBreak/>
        <w:t xml:space="preserve">El presupuesto de recursos estatales del Poder Ejecutivo asciende a </w:t>
      </w:r>
      <w:r>
        <w:rPr>
          <w:rFonts w:eastAsia="Calibri"/>
          <w:sz w:val="20"/>
          <w:szCs w:val="20"/>
        </w:rPr>
        <w:t>un monto total de $9,861,821,914</w:t>
      </w:r>
      <w:r w:rsidRPr="009D1AFB">
        <w:rPr>
          <w:rFonts w:eastAsia="Calibri"/>
          <w:sz w:val="20"/>
          <w:szCs w:val="20"/>
        </w:rPr>
        <w:t>.00, el cual representa un incremento porcentual de 4.3% respecto al ejercicio fiscal 2024.</w:t>
      </w:r>
    </w:p>
    <w:p w14:paraId="0BECD257" w14:textId="77777777" w:rsidR="005B2A50" w:rsidRDefault="005B2A50" w:rsidP="005B2A50">
      <w:pPr>
        <w:spacing w:after="200" w:line="360" w:lineRule="auto"/>
        <w:jc w:val="both"/>
        <w:rPr>
          <w:rFonts w:eastAsia="Calibri"/>
          <w:sz w:val="20"/>
          <w:szCs w:val="20"/>
        </w:rPr>
      </w:pPr>
      <w:r w:rsidRPr="00206500">
        <w:rPr>
          <w:rFonts w:eastAsia="Calibri"/>
          <w:sz w:val="20"/>
          <w:szCs w:val="20"/>
        </w:rPr>
        <w:t>De igual manera con referencia al actual ejercicio, las Aportaciones Federales del Ramo 33 etiquetadas en el Presupuesto de Egresos de la Federación, se estima que se tenga un incremento del 2.3%</w:t>
      </w:r>
      <w:r>
        <w:rPr>
          <w:rFonts w:eastAsia="Calibri"/>
          <w:sz w:val="20"/>
          <w:szCs w:val="20"/>
        </w:rPr>
        <w:t>.</w:t>
      </w:r>
    </w:p>
    <w:p w14:paraId="4334323F" w14:textId="77777777" w:rsidR="005B2A50" w:rsidRDefault="005B2A50" w:rsidP="005B2A50">
      <w:pPr>
        <w:spacing w:after="200" w:line="360" w:lineRule="auto"/>
        <w:jc w:val="center"/>
        <w:rPr>
          <w:rFonts w:eastAsia="Calibri"/>
          <w:b/>
          <w:sz w:val="20"/>
          <w:szCs w:val="20"/>
        </w:rPr>
      </w:pPr>
      <w:r>
        <w:rPr>
          <w:rFonts w:eastAsia="Calibri"/>
          <w:b/>
          <w:sz w:val="20"/>
          <w:szCs w:val="20"/>
        </w:rPr>
        <w:t xml:space="preserve">Clasificación por </w:t>
      </w:r>
      <w:proofErr w:type="spellStart"/>
      <w:r>
        <w:rPr>
          <w:rFonts w:eastAsia="Calibri"/>
          <w:b/>
          <w:sz w:val="20"/>
          <w:szCs w:val="20"/>
        </w:rPr>
        <w:t>Subfuente</w:t>
      </w:r>
      <w:proofErr w:type="spellEnd"/>
      <w:r>
        <w:rPr>
          <w:rFonts w:eastAsia="Calibri"/>
          <w:b/>
          <w:sz w:val="20"/>
          <w:szCs w:val="20"/>
        </w:rPr>
        <w:t xml:space="preserve"> de Financiamiento </w:t>
      </w:r>
    </w:p>
    <w:tbl>
      <w:tblPr>
        <w:tblW w:w="5122" w:type="dxa"/>
        <w:jc w:val="center"/>
        <w:tblCellMar>
          <w:left w:w="70" w:type="dxa"/>
          <w:right w:w="70" w:type="dxa"/>
        </w:tblCellMar>
        <w:tblLook w:val="04A0" w:firstRow="1" w:lastRow="0" w:firstColumn="1" w:lastColumn="0" w:noHBand="0" w:noVBand="1"/>
      </w:tblPr>
      <w:tblGrid>
        <w:gridCol w:w="3482"/>
        <w:gridCol w:w="1640"/>
      </w:tblGrid>
      <w:tr w:rsidR="005B2A50" w14:paraId="7E35EF99" w14:textId="77777777" w:rsidTr="00411DA3">
        <w:trPr>
          <w:trHeight w:val="567"/>
          <w:tblHeader/>
          <w:jc w:val="center"/>
        </w:trPr>
        <w:tc>
          <w:tcPr>
            <w:tcW w:w="3482" w:type="dxa"/>
            <w:tcBorders>
              <w:top w:val="single" w:sz="8" w:space="0" w:color="A6A6A6"/>
              <w:left w:val="single" w:sz="8" w:space="0" w:color="A6A6A6"/>
              <w:bottom w:val="nil"/>
              <w:right w:val="single" w:sz="8" w:space="0" w:color="A6A6A6"/>
            </w:tcBorders>
            <w:shd w:val="clear" w:color="auto" w:fill="CCCCCC"/>
            <w:vAlign w:val="center"/>
            <w:hideMark/>
          </w:tcPr>
          <w:p w14:paraId="4478794C" w14:textId="77777777" w:rsidR="005B2A50" w:rsidRDefault="005B2A50" w:rsidP="00411DA3">
            <w:pPr>
              <w:spacing w:line="360" w:lineRule="auto"/>
              <w:jc w:val="center"/>
              <w:rPr>
                <w:b/>
                <w:bCs/>
                <w:sz w:val="20"/>
                <w:szCs w:val="20"/>
                <w:lang w:eastAsia="es-MX"/>
              </w:rPr>
            </w:pPr>
            <w:r>
              <w:rPr>
                <w:b/>
                <w:bCs/>
                <w:sz w:val="20"/>
                <w:szCs w:val="20"/>
                <w:lang w:eastAsia="es-MX"/>
              </w:rPr>
              <w:t>FUENTE DE FINANCIAMIENTO</w:t>
            </w:r>
          </w:p>
        </w:tc>
        <w:tc>
          <w:tcPr>
            <w:tcW w:w="1640" w:type="dxa"/>
            <w:tcBorders>
              <w:top w:val="single" w:sz="8" w:space="0" w:color="A6A6A6"/>
              <w:left w:val="nil"/>
              <w:bottom w:val="nil"/>
              <w:right w:val="single" w:sz="8" w:space="0" w:color="A6A6A6"/>
            </w:tcBorders>
            <w:shd w:val="clear" w:color="auto" w:fill="CCCCCC"/>
            <w:vAlign w:val="center"/>
            <w:hideMark/>
          </w:tcPr>
          <w:p w14:paraId="5CD22D5A" w14:textId="77777777" w:rsidR="005B2A50" w:rsidRDefault="005B2A50" w:rsidP="00411DA3">
            <w:pPr>
              <w:spacing w:line="360" w:lineRule="auto"/>
              <w:jc w:val="center"/>
              <w:rPr>
                <w:b/>
                <w:bCs/>
                <w:sz w:val="20"/>
                <w:szCs w:val="20"/>
                <w:lang w:eastAsia="es-MX"/>
              </w:rPr>
            </w:pPr>
            <w:r>
              <w:rPr>
                <w:b/>
                <w:bCs/>
                <w:sz w:val="20"/>
                <w:szCs w:val="20"/>
                <w:lang w:eastAsia="es-MX"/>
              </w:rPr>
              <w:t>MONTO</w:t>
            </w:r>
          </w:p>
          <w:p w14:paraId="0622C03F" w14:textId="77777777" w:rsidR="005B2A50" w:rsidRDefault="005B2A50" w:rsidP="00411DA3">
            <w:pPr>
              <w:spacing w:line="360" w:lineRule="auto"/>
              <w:jc w:val="center"/>
              <w:rPr>
                <w:b/>
                <w:bCs/>
                <w:sz w:val="20"/>
                <w:szCs w:val="20"/>
                <w:lang w:eastAsia="es-MX"/>
              </w:rPr>
            </w:pPr>
            <w:r>
              <w:rPr>
                <w:b/>
                <w:bCs/>
                <w:sz w:val="20"/>
                <w:szCs w:val="20"/>
                <w:lang w:eastAsia="es-MX"/>
              </w:rPr>
              <w:t>($)</w:t>
            </w:r>
          </w:p>
        </w:tc>
      </w:tr>
      <w:tr w:rsidR="005B2A50" w14:paraId="6B0157E7" w14:textId="77777777" w:rsidTr="00411DA3">
        <w:trPr>
          <w:trHeight w:val="315"/>
          <w:jc w:val="center"/>
        </w:trPr>
        <w:tc>
          <w:tcPr>
            <w:tcW w:w="3482" w:type="dxa"/>
            <w:tcBorders>
              <w:top w:val="single" w:sz="8" w:space="0" w:color="A6A6A6"/>
              <w:left w:val="single" w:sz="8" w:space="0" w:color="A6A6A6"/>
              <w:bottom w:val="single" w:sz="8" w:space="0" w:color="A6A6A6"/>
              <w:right w:val="single" w:sz="8" w:space="0" w:color="A6A6A6"/>
            </w:tcBorders>
            <w:vAlign w:val="center"/>
            <w:hideMark/>
          </w:tcPr>
          <w:p w14:paraId="7635C20E" w14:textId="77777777" w:rsidR="005B2A50" w:rsidRDefault="005B2A50" w:rsidP="00411DA3">
            <w:pPr>
              <w:jc w:val="both"/>
              <w:rPr>
                <w:color w:val="000000"/>
                <w:sz w:val="20"/>
                <w:szCs w:val="20"/>
                <w:lang w:val="es-MX" w:eastAsia="es-MX"/>
              </w:rPr>
            </w:pPr>
            <w:r>
              <w:rPr>
                <w:color w:val="000000"/>
                <w:sz w:val="20"/>
                <w:szCs w:val="20"/>
              </w:rPr>
              <w:t>Fuentes locales</w:t>
            </w:r>
          </w:p>
        </w:tc>
        <w:tc>
          <w:tcPr>
            <w:tcW w:w="1640" w:type="dxa"/>
            <w:tcBorders>
              <w:top w:val="single" w:sz="8" w:space="0" w:color="A6A6A6"/>
              <w:left w:val="nil"/>
              <w:bottom w:val="single" w:sz="8" w:space="0" w:color="A6A6A6"/>
              <w:right w:val="single" w:sz="8" w:space="0" w:color="A6A6A6"/>
            </w:tcBorders>
            <w:vAlign w:val="center"/>
            <w:hideMark/>
          </w:tcPr>
          <w:p w14:paraId="07628E7F" w14:textId="77777777" w:rsidR="005B2A50" w:rsidRDefault="005B2A50" w:rsidP="00411DA3">
            <w:pPr>
              <w:jc w:val="right"/>
              <w:rPr>
                <w:color w:val="000000"/>
                <w:sz w:val="20"/>
                <w:szCs w:val="20"/>
              </w:rPr>
            </w:pPr>
            <w:r>
              <w:rPr>
                <w:color w:val="000000"/>
                <w:sz w:val="20"/>
                <w:szCs w:val="20"/>
              </w:rPr>
              <w:t>1,689,141,107.00</w:t>
            </w:r>
          </w:p>
        </w:tc>
      </w:tr>
      <w:tr w:rsidR="005B2A50" w14:paraId="2A6D8C71" w14:textId="77777777" w:rsidTr="00411DA3">
        <w:trPr>
          <w:trHeight w:val="417"/>
          <w:jc w:val="center"/>
        </w:trPr>
        <w:tc>
          <w:tcPr>
            <w:tcW w:w="3482" w:type="dxa"/>
            <w:tcBorders>
              <w:top w:val="nil"/>
              <w:left w:val="single" w:sz="8" w:space="0" w:color="A6A6A6"/>
              <w:bottom w:val="single" w:sz="8" w:space="0" w:color="A6A6A6"/>
              <w:right w:val="single" w:sz="8" w:space="0" w:color="A6A6A6"/>
            </w:tcBorders>
            <w:vAlign w:val="center"/>
            <w:hideMark/>
          </w:tcPr>
          <w:p w14:paraId="2D963AD8" w14:textId="77777777" w:rsidR="005B2A50" w:rsidRDefault="005B2A50" w:rsidP="00411DA3">
            <w:pPr>
              <w:jc w:val="both"/>
              <w:rPr>
                <w:color w:val="000000"/>
                <w:sz w:val="20"/>
                <w:szCs w:val="20"/>
              </w:rPr>
            </w:pPr>
            <w:r>
              <w:rPr>
                <w:color w:val="000000"/>
                <w:sz w:val="20"/>
                <w:szCs w:val="20"/>
              </w:rPr>
              <w:t>Participaciones e Incentivos</w:t>
            </w:r>
          </w:p>
        </w:tc>
        <w:tc>
          <w:tcPr>
            <w:tcW w:w="1640" w:type="dxa"/>
            <w:tcBorders>
              <w:top w:val="nil"/>
              <w:left w:val="nil"/>
              <w:bottom w:val="single" w:sz="8" w:space="0" w:color="A6A6A6"/>
              <w:right w:val="single" w:sz="8" w:space="0" w:color="A6A6A6"/>
            </w:tcBorders>
            <w:vAlign w:val="center"/>
            <w:hideMark/>
          </w:tcPr>
          <w:p w14:paraId="775C491B" w14:textId="77777777" w:rsidR="005B2A50" w:rsidRDefault="005B2A50" w:rsidP="00411DA3">
            <w:pPr>
              <w:jc w:val="right"/>
              <w:rPr>
                <w:color w:val="000000"/>
                <w:sz w:val="20"/>
                <w:szCs w:val="20"/>
              </w:rPr>
            </w:pPr>
            <w:r>
              <w:rPr>
                <w:color w:val="000000"/>
                <w:sz w:val="20"/>
                <w:szCs w:val="20"/>
              </w:rPr>
              <w:t>8,172,680,807.00</w:t>
            </w:r>
          </w:p>
        </w:tc>
      </w:tr>
      <w:tr w:rsidR="005B2A50" w14:paraId="00722013" w14:textId="77777777" w:rsidTr="00411DA3">
        <w:trPr>
          <w:trHeight w:val="330"/>
          <w:jc w:val="center"/>
        </w:trPr>
        <w:tc>
          <w:tcPr>
            <w:tcW w:w="3482" w:type="dxa"/>
            <w:tcBorders>
              <w:top w:val="nil"/>
              <w:left w:val="single" w:sz="8" w:space="0" w:color="A6A6A6"/>
              <w:bottom w:val="single" w:sz="8" w:space="0" w:color="A6A6A6"/>
              <w:right w:val="single" w:sz="8" w:space="0" w:color="A6A6A6"/>
            </w:tcBorders>
            <w:vAlign w:val="center"/>
            <w:hideMark/>
          </w:tcPr>
          <w:p w14:paraId="47B199CD" w14:textId="77777777" w:rsidR="005B2A50" w:rsidRDefault="005B2A50" w:rsidP="00411DA3">
            <w:pPr>
              <w:jc w:val="both"/>
              <w:rPr>
                <w:b/>
                <w:bCs/>
                <w:color w:val="000000"/>
                <w:sz w:val="20"/>
                <w:szCs w:val="20"/>
              </w:rPr>
            </w:pPr>
            <w:r>
              <w:rPr>
                <w:b/>
                <w:bCs/>
                <w:color w:val="000000"/>
                <w:sz w:val="20"/>
                <w:szCs w:val="20"/>
              </w:rPr>
              <w:t>SUBTOTAL ESTATALES</w:t>
            </w:r>
          </w:p>
        </w:tc>
        <w:tc>
          <w:tcPr>
            <w:tcW w:w="1640" w:type="dxa"/>
            <w:tcBorders>
              <w:top w:val="nil"/>
              <w:left w:val="nil"/>
              <w:bottom w:val="single" w:sz="8" w:space="0" w:color="A6A6A6"/>
              <w:right w:val="single" w:sz="8" w:space="0" w:color="A6A6A6"/>
            </w:tcBorders>
            <w:vAlign w:val="center"/>
            <w:hideMark/>
          </w:tcPr>
          <w:p w14:paraId="036623A5" w14:textId="77777777" w:rsidR="005B2A50" w:rsidRDefault="005B2A50" w:rsidP="00411DA3">
            <w:pPr>
              <w:jc w:val="right"/>
              <w:rPr>
                <w:b/>
                <w:bCs/>
                <w:color w:val="000000"/>
                <w:sz w:val="20"/>
                <w:szCs w:val="20"/>
              </w:rPr>
            </w:pPr>
            <w:r>
              <w:rPr>
                <w:b/>
                <w:bCs/>
                <w:color w:val="000000"/>
                <w:sz w:val="20"/>
                <w:szCs w:val="20"/>
              </w:rPr>
              <w:t>9,861,821,914.00</w:t>
            </w:r>
          </w:p>
        </w:tc>
      </w:tr>
      <w:tr w:rsidR="005B2A50" w14:paraId="4DC2696E" w14:textId="77777777" w:rsidTr="00411DA3">
        <w:trPr>
          <w:trHeight w:val="357"/>
          <w:jc w:val="center"/>
        </w:trPr>
        <w:tc>
          <w:tcPr>
            <w:tcW w:w="3482" w:type="dxa"/>
            <w:tcBorders>
              <w:top w:val="nil"/>
              <w:left w:val="single" w:sz="8" w:space="0" w:color="A6A6A6"/>
              <w:bottom w:val="single" w:sz="8" w:space="0" w:color="A6A6A6"/>
              <w:right w:val="single" w:sz="8" w:space="0" w:color="A6A6A6"/>
            </w:tcBorders>
            <w:vAlign w:val="center"/>
            <w:hideMark/>
          </w:tcPr>
          <w:p w14:paraId="3545360B" w14:textId="77777777" w:rsidR="005B2A50" w:rsidRDefault="005B2A50" w:rsidP="00411DA3">
            <w:pPr>
              <w:jc w:val="both"/>
              <w:rPr>
                <w:color w:val="000000"/>
                <w:sz w:val="20"/>
                <w:szCs w:val="20"/>
              </w:rPr>
            </w:pPr>
            <w:r>
              <w:rPr>
                <w:color w:val="000000"/>
                <w:sz w:val="20"/>
                <w:szCs w:val="20"/>
              </w:rPr>
              <w:t>Aportaciones Federales</w:t>
            </w:r>
          </w:p>
        </w:tc>
        <w:tc>
          <w:tcPr>
            <w:tcW w:w="1640" w:type="dxa"/>
            <w:tcBorders>
              <w:top w:val="nil"/>
              <w:left w:val="nil"/>
              <w:bottom w:val="single" w:sz="8" w:space="0" w:color="A6A6A6"/>
              <w:right w:val="single" w:sz="8" w:space="0" w:color="A6A6A6"/>
            </w:tcBorders>
            <w:vAlign w:val="center"/>
            <w:hideMark/>
          </w:tcPr>
          <w:p w14:paraId="3B37263B" w14:textId="77777777" w:rsidR="005B2A50" w:rsidRDefault="005B2A50" w:rsidP="00411DA3">
            <w:pPr>
              <w:jc w:val="right"/>
              <w:rPr>
                <w:color w:val="000000"/>
                <w:sz w:val="20"/>
                <w:szCs w:val="20"/>
              </w:rPr>
            </w:pPr>
            <w:r>
              <w:rPr>
                <w:color w:val="000000"/>
                <w:sz w:val="20"/>
                <w:szCs w:val="20"/>
              </w:rPr>
              <w:t>11,823,752,032.00</w:t>
            </w:r>
          </w:p>
        </w:tc>
      </w:tr>
      <w:tr w:rsidR="005B2A50" w14:paraId="4491DFEA" w14:textId="77777777" w:rsidTr="00411DA3">
        <w:trPr>
          <w:trHeight w:val="330"/>
          <w:jc w:val="center"/>
        </w:trPr>
        <w:tc>
          <w:tcPr>
            <w:tcW w:w="3482" w:type="dxa"/>
            <w:tcBorders>
              <w:top w:val="nil"/>
              <w:left w:val="single" w:sz="8" w:space="0" w:color="A6A6A6"/>
              <w:bottom w:val="single" w:sz="8" w:space="0" w:color="A6A6A6"/>
              <w:right w:val="single" w:sz="8" w:space="0" w:color="A6A6A6"/>
            </w:tcBorders>
            <w:shd w:val="clear" w:color="auto" w:fill="CCCCCC"/>
            <w:vAlign w:val="center"/>
            <w:hideMark/>
          </w:tcPr>
          <w:p w14:paraId="365387C3" w14:textId="77777777" w:rsidR="005B2A50" w:rsidRDefault="005B2A50" w:rsidP="00411DA3">
            <w:pPr>
              <w:spacing w:line="252" w:lineRule="auto"/>
              <w:jc w:val="center"/>
              <w:rPr>
                <w:b/>
                <w:bCs/>
                <w:sz w:val="20"/>
                <w:szCs w:val="20"/>
              </w:rPr>
            </w:pPr>
            <w:r>
              <w:rPr>
                <w:b/>
                <w:bCs/>
                <w:sz w:val="20"/>
                <w:szCs w:val="20"/>
              </w:rPr>
              <w:t>TOTAL</w:t>
            </w:r>
          </w:p>
        </w:tc>
        <w:tc>
          <w:tcPr>
            <w:tcW w:w="1640" w:type="dxa"/>
            <w:tcBorders>
              <w:top w:val="nil"/>
              <w:left w:val="nil"/>
              <w:bottom w:val="single" w:sz="8" w:space="0" w:color="A6A6A6"/>
              <w:right w:val="single" w:sz="8" w:space="0" w:color="A6A6A6"/>
            </w:tcBorders>
            <w:shd w:val="clear" w:color="auto" w:fill="CCCCCC"/>
            <w:vAlign w:val="center"/>
            <w:hideMark/>
          </w:tcPr>
          <w:p w14:paraId="3D8C25C6" w14:textId="77777777" w:rsidR="005B2A50" w:rsidRDefault="005B2A50" w:rsidP="00411DA3">
            <w:pPr>
              <w:spacing w:line="254" w:lineRule="auto"/>
              <w:jc w:val="right"/>
              <w:rPr>
                <w:b/>
                <w:bCs/>
                <w:color w:val="000000"/>
                <w:sz w:val="20"/>
                <w:szCs w:val="20"/>
              </w:rPr>
            </w:pPr>
            <w:r w:rsidRPr="002A75A9">
              <w:rPr>
                <w:b/>
                <w:bCs/>
                <w:color w:val="000000"/>
                <w:sz w:val="20"/>
                <w:szCs w:val="20"/>
              </w:rPr>
              <w:t>21,685,573,946.00</w:t>
            </w:r>
          </w:p>
        </w:tc>
      </w:tr>
    </w:tbl>
    <w:p w14:paraId="2B47FCAF" w14:textId="77777777" w:rsidR="005B2A50" w:rsidRDefault="005B2A50" w:rsidP="005B2A50">
      <w:pPr>
        <w:spacing w:after="200" w:line="360" w:lineRule="auto"/>
        <w:jc w:val="center"/>
        <w:rPr>
          <w:rFonts w:eastAsia="Calibri"/>
          <w:b/>
          <w:sz w:val="20"/>
          <w:szCs w:val="20"/>
        </w:rPr>
      </w:pPr>
    </w:p>
    <w:p w14:paraId="03B595E7" w14:textId="77777777" w:rsidR="005B2A50" w:rsidRDefault="005B2A50" w:rsidP="005B2A50">
      <w:pPr>
        <w:spacing w:after="200" w:line="360" w:lineRule="auto"/>
        <w:jc w:val="center"/>
        <w:rPr>
          <w:rFonts w:eastAsia="Calibri"/>
          <w:b/>
          <w:sz w:val="20"/>
          <w:szCs w:val="20"/>
        </w:rPr>
      </w:pPr>
      <w:r>
        <w:rPr>
          <w:rFonts w:eastAsia="Calibri"/>
          <w:b/>
          <w:sz w:val="20"/>
          <w:szCs w:val="20"/>
        </w:rPr>
        <w:t>Clasificación por Finalidad</w:t>
      </w:r>
    </w:p>
    <w:tbl>
      <w:tblPr>
        <w:tblpPr w:leftFromText="141" w:rightFromText="141" w:vertAnchor="text" w:tblpXSpec="center" w:tblpY="1"/>
        <w:tblOverlap w:val="never"/>
        <w:tblW w:w="529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60"/>
        <w:gridCol w:w="1940"/>
        <w:gridCol w:w="790"/>
      </w:tblGrid>
      <w:tr w:rsidR="005B2A50" w14:paraId="06E33106" w14:textId="77777777" w:rsidTr="00411DA3">
        <w:trPr>
          <w:trHeight w:val="300"/>
          <w:tblHeader/>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noWrap/>
            <w:vAlign w:val="bottom"/>
            <w:hideMark/>
          </w:tcPr>
          <w:p w14:paraId="6844679A" w14:textId="77777777" w:rsidR="005B2A50" w:rsidRDefault="005B2A50" w:rsidP="00411DA3">
            <w:pPr>
              <w:spacing w:line="360" w:lineRule="auto"/>
              <w:jc w:val="center"/>
              <w:rPr>
                <w:b/>
                <w:bCs/>
                <w:sz w:val="20"/>
                <w:szCs w:val="20"/>
                <w:lang w:val="es-MX" w:eastAsia="es-MX"/>
              </w:rPr>
            </w:pPr>
            <w:r>
              <w:rPr>
                <w:b/>
                <w:bCs/>
                <w:sz w:val="20"/>
                <w:szCs w:val="20"/>
                <w:lang w:val="es-MX" w:eastAsia="es-MX"/>
              </w:rPr>
              <w:t>FINALIDAD</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noWrap/>
            <w:vAlign w:val="bottom"/>
            <w:hideMark/>
          </w:tcPr>
          <w:p w14:paraId="234770FD" w14:textId="77777777" w:rsidR="005B2A50" w:rsidRDefault="005B2A50" w:rsidP="00411DA3">
            <w:pPr>
              <w:spacing w:line="360" w:lineRule="auto"/>
              <w:jc w:val="center"/>
              <w:rPr>
                <w:b/>
                <w:bCs/>
                <w:sz w:val="20"/>
                <w:szCs w:val="20"/>
                <w:lang w:val="es-MX" w:eastAsia="es-MX"/>
              </w:rPr>
            </w:pPr>
            <w:r>
              <w:rPr>
                <w:b/>
                <w:bCs/>
                <w:sz w:val="20"/>
                <w:szCs w:val="20"/>
                <w:lang w:val="es-MX" w:eastAsia="es-MX"/>
              </w:rPr>
              <w:t>MONTO</w:t>
            </w:r>
          </w:p>
          <w:p w14:paraId="06C65EEC" w14:textId="77777777" w:rsidR="005B2A50" w:rsidRDefault="005B2A50" w:rsidP="00411DA3">
            <w:pPr>
              <w:spacing w:line="360" w:lineRule="auto"/>
              <w:jc w:val="center"/>
              <w:rPr>
                <w:b/>
                <w:bCs/>
                <w:sz w:val="20"/>
                <w:szCs w:val="20"/>
                <w:lang w:val="es-MX" w:eastAsia="es-MX"/>
              </w:rPr>
            </w:pPr>
            <w:r>
              <w:rPr>
                <w:b/>
                <w:bCs/>
                <w:sz w:val="20"/>
                <w:szCs w:val="20"/>
                <w:lang w:val="es-MX" w:eastAsia="es-MX"/>
              </w:rPr>
              <w:t>($)</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noWrap/>
            <w:vAlign w:val="bottom"/>
            <w:hideMark/>
          </w:tcPr>
          <w:p w14:paraId="03344261" w14:textId="77777777" w:rsidR="005B2A50" w:rsidRDefault="005B2A50" w:rsidP="00411DA3">
            <w:pPr>
              <w:spacing w:line="360" w:lineRule="auto"/>
              <w:jc w:val="center"/>
              <w:rPr>
                <w:b/>
                <w:bCs/>
                <w:sz w:val="20"/>
                <w:szCs w:val="20"/>
                <w:lang w:val="es-MX" w:eastAsia="es-MX"/>
              </w:rPr>
            </w:pPr>
            <w:r>
              <w:rPr>
                <w:b/>
                <w:bCs/>
                <w:sz w:val="20"/>
                <w:szCs w:val="20"/>
                <w:lang w:val="es-MX" w:eastAsia="es-MX"/>
              </w:rPr>
              <w:t>%</w:t>
            </w:r>
          </w:p>
        </w:tc>
      </w:tr>
      <w:tr w:rsidR="005B2A50" w14:paraId="3E1EC64D" w14:textId="77777777" w:rsidTr="00411DA3">
        <w:trPr>
          <w:trHeight w:val="178"/>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4DC65FC" w14:textId="77777777" w:rsidR="005B2A50" w:rsidRPr="009A2CD6" w:rsidRDefault="005B2A50" w:rsidP="00411DA3">
            <w:pPr>
              <w:spacing w:line="252" w:lineRule="auto"/>
              <w:rPr>
                <w:color w:val="FF0000"/>
                <w:sz w:val="20"/>
                <w:szCs w:val="20"/>
                <w:lang w:val="es-MX" w:eastAsia="es-MX"/>
              </w:rPr>
            </w:pPr>
            <w:r w:rsidRPr="000D73FA">
              <w:rPr>
                <w:sz w:val="20"/>
                <w:szCs w:val="20"/>
              </w:rPr>
              <w:t>Gobierno</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64144DD" w14:textId="77777777" w:rsidR="005B2A50" w:rsidRPr="009A2CD6" w:rsidRDefault="005B2A50" w:rsidP="00411DA3">
            <w:pPr>
              <w:jc w:val="right"/>
              <w:rPr>
                <w:color w:val="FF0000"/>
                <w:sz w:val="20"/>
                <w:szCs w:val="20"/>
                <w:lang w:val="es-MX" w:eastAsia="es-MX"/>
              </w:rPr>
            </w:pPr>
            <w:r>
              <w:rPr>
                <w:color w:val="000000"/>
                <w:sz w:val="20"/>
                <w:szCs w:val="20"/>
              </w:rPr>
              <w:t>3,252,977,820.00</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0FB920D" w14:textId="77777777" w:rsidR="005B2A50" w:rsidRPr="009A2CD6" w:rsidRDefault="005B2A50" w:rsidP="00411DA3">
            <w:pPr>
              <w:jc w:val="center"/>
              <w:rPr>
                <w:color w:val="FF0000"/>
                <w:sz w:val="20"/>
                <w:szCs w:val="20"/>
              </w:rPr>
            </w:pPr>
            <w:r>
              <w:rPr>
                <w:color w:val="000000"/>
                <w:sz w:val="20"/>
                <w:szCs w:val="20"/>
              </w:rPr>
              <w:t>15.0</w:t>
            </w:r>
          </w:p>
        </w:tc>
      </w:tr>
      <w:tr w:rsidR="005B2A50" w14:paraId="3B7EDB30" w14:textId="77777777" w:rsidTr="00411DA3">
        <w:trPr>
          <w:trHeight w:val="209"/>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DAA600C" w14:textId="77777777" w:rsidR="005B2A50" w:rsidRPr="009A2CD6" w:rsidRDefault="005B2A50" w:rsidP="00411DA3">
            <w:pPr>
              <w:spacing w:line="252" w:lineRule="auto"/>
              <w:rPr>
                <w:color w:val="FF0000"/>
                <w:sz w:val="20"/>
                <w:szCs w:val="20"/>
              </w:rPr>
            </w:pPr>
            <w:r w:rsidRPr="000D73FA">
              <w:rPr>
                <w:sz w:val="20"/>
                <w:szCs w:val="20"/>
              </w:rPr>
              <w:t xml:space="preserve">Desarrollo Social </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C3391A9" w14:textId="77777777" w:rsidR="005B2A50" w:rsidRPr="009A2CD6" w:rsidRDefault="005B2A50" w:rsidP="00411DA3">
            <w:pPr>
              <w:jc w:val="right"/>
              <w:rPr>
                <w:color w:val="FF0000"/>
                <w:sz w:val="20"/>
                <w:szCs w:val="20"/>
              </w:rPr>
            </w:pPr>
            <w:r>
              <w:rPr>
                <w:color w:val="000000"/>
                <w:sz w:val="20"/>
                <w:szCs w:val="20"/>
              </w:rPr>
              <w:t>17,607,036,901.00</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167F069" w14:textId="77777777" w:rsidR="005B2A50" w:rsidRPr="009A2CD6" w:rsidRDefault="005B2A50" w:rsidP="00411DA3">
            <w:pPr>
              <w:jc w:val="center"/>
              <w:rPr>
                <w:color w:val="FF0000"/>
                <w:sz w:val="20"/>
                <w:szCs w:val="20"/>
              </w:rPr>
            </w:pPr>
            <w:r>
              <w:rPr>
                <w:color w:val="000000"/>
                <w:sz w:val="20"/>
                <w:szCs w:val="20"/>
              </w:rPr>
              <w:t>81.2</w:t>
            </w:r>
          </w:p>
        </w:tc>
      </w:tr>
      <w:tr w:rsidR="005B2A50" w14:paraId="6C630B43" w14:textId="77777777" w:rsidTr="00411DA3">
        <w:trPr>
          <w:trHeight w:val="300"/>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CABA1C6" w14:textId="77777777" w:rsidR="005B2A50" w:rsidRPr="009A2CD6" w:rsidRDefault="005B2A50" w:rsidP="00411DA3">
            <w:pPr>
              <w:spacing w:line="252" w:lineRule="auto"/>
              <w:rPr>
                <w:color w:val="FF0000"/>
                <w:sz w:val="20"/>
                <w:szCs w:val="20"/>
              </w:rPr>
            </w:pPr>
            <w:r w:rsidRPr="000D73FA">
              <w:rPr>
                <w:sz w:val="20"/>
                <w:szCs w:val="20"/>
              </w:rPr>
              <w:t>Desarrollo Económico</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F69DA89" w14:textId="77777777" w:rsidR="005B2A50" w:rsidRPr="009A2CD6" w:rsidRDefault="005B2A50" w:rsidP="00411DA3">
            <w:pPr>
              <w:jc w:val="right"/>
              <w:rPr>
                <w:color w:val="FF0000"/>
                <w:sz w:val="20"/>
                <w:szCs w:val="20"/>
              </w:rPr>
            </w:pPr>
            <w:r>
              <w:rPr>
                <w:color w:val="000000"/>
                <w:sz w:val="20"/>
                <w:szCs w:val="20"/>
              </w:rPr>
              <w:t>825,559,225.00</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AF176B1" w14:textId="77777777" w:rsidR="005B2A50" w:rsidRPr="009A2CD6" w:rsidRDefault="005B2A50" w:rsidP="00411DA3">
            <w:pPr>
              <w:jc w:val="center"/>
              <w:rPr>
                <w:color w:val="FF0000"/>
                <w:sz w:val="20"/>
                <w:szCs w:val="20"/>
              </w:rPr>
            </w:pPr>
            <w:r>
              <w:rPr>
                <w:color w:val="000000"/>
                <w:sz w:val="20"/>
                <w:szCs w:val="20"/>
              </w:rPr>
              <w:t>3.8</w:t>
            </w:r>
          </w:p>
        </w:tc>
      </w:tr>
      <w:tr w:rsidR="005B2A50" w14:paraId="1B85B46F" w14:textId="77777777" w:rsidTr="00411DA3">
        <w:trPr>
          <w:trHeight w:val="217"/>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2EB3F490" w14:textId="77777777" w:rsidR="005B2A50" w:rsidRDefault="005B2A50" w:rsidP="00411DA3">
            <w:pPr>
              <w:spacing w:line="252" w:lineRule="auto"/>
              <w:jc w:val="center"/>
              <w:rPr>
                <w:b/>
                <w:bCs/>
                <w:sz w:val="20"/>
                <w:szCs w:val="20"/>
              </w:rPr>
            </w:pPr>
            <w:r>
              <w:rPr>
                <w:b/>
                <w:bCs/>
                <w:sz w:val="20"/>
                <w:szCs w:val="20"/>
              </w:rPr>
              <w:t>TOTAL</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48BA0F74" w14:textId="77777777" w:rsidR="005B2A50" w:rsidRDefault="005B2A50" w:rsidP="00411DA3">
            <w:pPr>
              <w:jc w:val="right"/>
              <w:rPr>
                <w:b/>
                <w:bCs/>
                <w:color w:val="000000"/>
                <w:sz w:val="20"/>
                <w:szCs w:val="20"/>
              </w:rPr>
            </w:pPr>
            <w:r>
              <w:rPr>
                <w:b/>
                <w:bCs/>
                <w:color w:val="000000"/>
                <w:sz w:val="20"/>
                <w:szCs w:val="20"/>
              </w:rPr>
              <w:t>21,685,573,946.00</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14:paraId="24EFB87F" w14:textId="77777777" w:rsidR="005B2A50" w:rsidRDefault="005B2A50" w:rsidP="00411DA3">
            <w:pPr>
              <w:jc w:val="center"/>
              <w:rPr>
                <w:b/>
                <w:bCs/>
                <w:color w:val="000000"/>
                <w:sz w:val="20"/>
                <w:szCs w:val="20"/>
              </w:rPr>
            </w:pPr>
            <w:r>
              <w:rPr>
                <w:b/>
                <w:bCs/>
                <w:color w:val="000000"/>
                <w:sz w:val="20"/>
                <w:szCs w:val="20"/>
              </w:rPr>
              <w:t>100.0</w:t>
            </w:r>
          </w:p>
        </w:tc>
      </w:tr>
    </w:tbl>
    <w:p w14:paraId="7367C70F" w14:textId="77777777" w:rsidR="005B2A50" w:rsidRDefault="005B2A50" w:rsidP="005B2A50">
      <w:pPr>
        <w:spacing w:after="200" w:line="360" w:lineRule="auto"/>
        <w:jc w:val="center"/>
        <w:rPr>
          <w:rFonts w:eastAsia="Calibri"/>
          <w:b/>
          <w:sz w:val="20"/>
          <w:szCs w:val="20"/>
        </w:rPr>
      </w:pPr>
      <w:r>
        <w:rPr>
          <w:rFonts w:eastAsia="Calibri"/>
          <w:b/>
          <w:sz w:val="20"/>
          <w:szCs w:val="20"/>
        </w:rPr>
        <w:br w:type="textWrapping" w:clear="all"/>
      </w:r>
    </w:p>
    <w:p w14:paraId="6F4C8840" w14:textId="77777777" w:rsidR="005B2A50" w:rsidRDefault="005B2A50" w:rsidP="005B2A50">
      <w:pPr>
        <w:spacing w:after="200" w:line="360" w:lineRule="auto"/>
        <w:jc w:val="both"/>
        <w:rPr>
          <w:color w:val="FF0000"/>
          <w:sz w:val="20"/>
          <w:szCs w:val="20"/>
        </w:rPr>
      </w:pPr>
      <w:r w:rsidRPr="009F321B">
        <w:rPr>
          <w:sz w:val="20"/>
          <w:szCs w:val="20"/>
        </w:rPr>
        <w:t>De acuerdo a la anterior clasificación, la política de desarrollo social en el Estado de Tlaxcala, vinculada y coordinada con la política de planeación nacional, promueve, respeta, protege y garantiza los derechos sociales de la población, en cumplimiento a lo establecido en la Constitución Política de los Estados Unidos Mexicanos, Constitución Política del Estado Libre y Soberano de Tlaxcala, Ley General de Desarrollo Social, Ley de Desarrollo Social del Estado de Tlaxcala y Ley de los Derechos de Niñas, Niños y Adolescentes del Estado de Tlaxcala</w:t>
      </w:r>
      <w:r>
        <w:rPr>
          <w:sz w:val="20"/>
          <w:szCs w:val="20"/>
        </w:rPr>
        <w:t>.</w:t>
      </w:r>
      <w:r w:rsidRPr="009A2CD6">
        <w:rPr>
          <w:color w:val="FF0000"/>
          <w:sz w:val="20"/>
          <w:szCs w:val="20"/>
        </w:rPr>
        <w:t xml:space="preserve"> </w:t>
      </w:r>
    </w:p>
    <w:p w14:paraId="6A9DD61A" w14:textId="77777777" w:rsidR="004B3C0F" w:rsidRDefault="004B3C0F" w:rsidP="005B2A50">
      <w:pPr>
        <w:spacing w:after="200" w:line="360" w:lineRule="auto"/>
        <w:jc w:val="both"/>
        <w:rPr>
          <w:color w:val="FF0000"/>
          <w:sz w:val="20"/>
          <w:szCs w:val="20"/>
        </w:rPr>
      </w:pPr>
    </w:p>
    <w:p w14:paraId="442B88C0" w14:textId="77777777" w:rsidR="004B3C0F" w:rsidRPr="009A2CD6" w:rsidRDefault="004B3C0F" w:rsidP="005B2A50">
      <w:pPr>
        <w:spacing w:after="200" w:line="360" w:lineRule="auto"/>
        <w:jc w:val="both"/>
        <w:rPr>
          <w:color w:val="FF0000"/>
          <w:sz w:val="20"/>
          <w:szCs w:val="20"/>
        </w:rPr>
      </w:pPr>
    </w:p>
    <w:p w14:paraId="6613FE8D" w14:textId="77777777" w:rsidR="005B2A50" w:rsidRDefault="005B2A50" w:rsidP="005B2A50">
      <w:pPr>
        <w:spacing w:after="200" w:line="360" w:lineRule="auto"/>
        <w:jc w:val="center"/>
        <w:rPr>
          <w:b/>
          <w:sz w:val="20"/>
          <w:szCs w:val="20"/>
        </w:rPr>
      </w:pPr>
      <w:r>
        <w:rPr>
          <w:b/>
          <w:sz w:val="20"/>
          <w:szCs w:val="20"/>
        </w:rPr>
        <w:lastRenderedPageBreak/>
        <w:t>Sectorización del Poder Ejecutivo</w:t>
      </w:r>
    </w:p>
    <w:p w14:paraId="28195871" w14:textId="77777777" w:rsidR="005B2A50" w:rsidRPr="00A53CC2" w:rsidRDefault="005B2A50" w:rsidP="005B2A50">
      <w:pPr>
        <w:spacing w:after="200" w:line="360" w:lineRule="auto"/>
        <w:jc w:val="both"/>
        <w:rPr>
          <w:sz w:val="20"/>
          <w:szCs w:val="20"/>
        </w:rPr>
      </w:pPr>
      <w:r w:rsidRPr="00A53CC2">
        <w:rPr>
          <w:sz w:val="20"/>
          <w:szCs w:val="20"/>
        </w:rPr>
        <w:t>Integran la Administración Pública Centralizada: el Despacho de la Persona Titular del Ejecutivo, las unidades y departamentos administrativos adscritos a éste, las Secretarías, las Coordinaciones, la Oficialía Mayor, la Consejería Jurídica del Ejecutivo y los Órganos Desconcentrados, creados por la Persona Titular del Ejecutivo mediante Decreto.</w:t>
      </w:r>
    </w:p>
    <w:p w14:paraId="6F62AC22" w14:textId="77777777" w:rsidR="005B2A50" w:rsidRPr="00A53CC2" w:rsidRDefault="005B2A50" w:rsidP="005B2A50">
      <w:pPr>
        <w:spacing w:after="200" w:line="360" w:lineRule="auto"/>
        <w:jc w:val="both"/>
        <w:rPr>
          <w:sz w:val="20"/>
          <w:szCs w:val="20"/>
        </w:rPr>
      </w:pPr>
      <w:r w:rsidRPr="00A53CC2">
        <w:rPr>
          <w:sz w:val="20"/>
          <w:szCs w:val="20"/>
        </w:rPr>
        <w:t>Constituyen la administración pública descentralizada, los organismos públicos descentralizados, las empresas de participación estatal mayoritaria y los fideicomisos públicos, creados por el Ejecutivo mediante Decreto.</w:t>
      </w:r>
    </w:p>
    <w:p w14:paraId="37728053" w14:textId="77777777" w:rsidR="005B2A50" w:rsidRDefault="005B2A50" w:rsidP="005B2A50">
      <w:pPr>
        <w:spacing w:after="200" w:line="360" w:lineRule="auto"/>
        <w:jc w:val="both"/>
        <w:rPr>
          <w:rFonts w:eastAsia="Calibri"/>
          <w:sz w:val="20"/>
          <w:szCs w:val="20"/>
        </w:rPr>
      </w:pPr>
      <w:r w:rsidRPr="00A53CC2">
        <w:rPr>
          <w:sz w:val="20"/>
          <w:szCs w:val="20"/>
        </w:rPr>
        <w:t>Por lo que se clasifican en Sectores con la finalidad de poder visualizar un panorama claro y distinto en la presentación del Presupuesto de Egresos del Poder Ejecutivo, con base en el cuadro siguiente</w:t>
      </w:r>
      <w:r>
        <w:rPr>
          <w:rFonts w:eastAsia="Calibri"/>
          <w:sz w:val="20"/>
          <w:szCs w:val="20"/>
        </w:rPr>
        <w:t>:</w:t>
      </w:r>
    </w:p>
    <w:p w14:paraId="3EB1C040" w14:textId="77777777" w:rsidR="005B2A50" w:rsidRDefault="005B2A50" w:rsidP="005B2A50">
      <w:pPr>
        <w:spacing w:after="200" w:line="360" w:lineRule="auto"/>
        <w:jc w:val="center"/>
        <w:rPr>
          <w:rFonts w:eastAsia="Calibri"/>
          <w:b/>
          <w:sz w:val="20"/>
          <w:szCs w:val="20"/>
        </w:rPr>
      </w:pPr>
      <w:r>
        <w:rPr>
          <w:rFonts w:eastAsia="Calibri"/>
          <w:b/>
          <w:sz w:val="20"/>
          <w:szCs w:val="20"/>
        </w:rPr>
        <w:t>Clasificación por Sector</w:t>
      </w:r>
    </w:p>
    <w:tbl>
      <w:tblPr>
        <w:tblW w:w="7508" w:type="dxa"/>
        <w:jc w:val="center"/>
        <w:tblCellMar>
          <w:left w:w="70" w:type="dxa"/>
          <w:right w:w="70" w:type="dxa"/>
        </w:tblCellMar>
        <w:tblLook w:val="04A0" w:firstRow="1" w:lastRow="0" w:firstColumn="1" w:lastColumn="0" w:noHBand="0" w:noVBand="1"/>
      </w:tblPr>
      <w:tblGrid>
        <w:gridCol w:w="1720"/>
        <w:gridCol w:w="1660"/>
        <w:gridCol w:w="1660"/>
        <w:gridCol w:w="1770"/>
        <w:gridCol w:w="698"/>
      </w:tblGrid>
      <w:tr w:rsidR="005B2A50" w:rsidRPr="00076395" w14:paraId="7D06430E" w14:textId="77777777" w:rsidTr="00411DA3">
        <w:trPr>
          <w:trHeight w:val="300"/>
          <w:tblHeader/>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2937C2" w14:textId="77777777" w:rsidR="005B2A50" w:rsidRPr="00076395" w:rsidRDefault="005B2A50" w:rsidP="00411DA3">
            <w:pPr>
              <w:spacing w:line="252" w:lineRule="auto"/>
              <w:jc w:val="center"/>
              <w:rPr>
                <w:b/>
                <w:bCs/>
                <w:sz w:val="20"/>
                <w:szCs w:val="20"/>
                <w:lang w:val="es-MX" w:eastAsia="es-MX"/>
              </w:rPr>
            </w:pPr>
            <w:r w:rsidRPr="00076395">
              <w:rPr>
                <w:b/>
                <w:bCs/>
                <w:sz w:val="20"/>
                <w:szCs w:val="20"/>
                <w:lang w:val="es-MX" w:eastAsia="es-MX"/>
              </w:rPr>
              <w:t>SECTOR</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C4CE584" w14:textId="77777777" w:rsidR="005B2A50" w:rsidRPr="00076395" w:rsidRDefault="005B2A50" w:rsidP="00411DA3">
            <w:pPr>
              <w:spacing w:line="252" w:lineRule="auto"/>
              <w:jc w:val="center"/>
              <w:rPr>
                <w:b/>
                <w:bCs/>
                <w:sz w:val="20"/>
                <w:szCs w:val="20"/>
                <w:lang w:val="es-MX" w:eastAsia="es-MX"/>
              </w:rPr>
            </w:pPr>
            <w:r w:rsidRPr="00076395">
              <w:rPr>
                <w:b/>
                <w:bCs/>
                <w:sz w:val="20"/>
                <w:szCs w:val="20"/>
                <w:lang w:val="es-MX" w:eastAsia="es-MX"/>
              </w:rPr>
              <w:t>202</w:t>
            </w:r>
            <w:r>
              <w:rPr>
                <w:b/>
                <w:bCs/>
                <w:sz w:val="20"/>
                <w:szCs w:val="20"/>
                <w:lang w:val="es-MX" w:eastAsia="es-MX"/>
              </w:rPr>
              <w:t>4</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D0DE334" w14:textId="77777777" w:rsidR="005B2A50" w:rsidRPr="00076395" w:rsidRDefault="005B2A50" w:rsidP="00411DA3">
            <w:pPr>
              <w:spacing w:line="252" w:lineRule="auto"/>
              <w:jc w:val="center"/>
              <w:rPr>
                <w:b/>
                <w:bCs/>
                <w:sz w:val="20"/>
                <w:szCs w:val="20"/>
                <w:lang w:val="es-MX" w:eastAsia="es-MX"/>
              </w:rPr>
            </w:pPr>
            <w:r w:rsidRPr="00076395">
              <w:rPr>
                <w:b/>
                <w:bCs/>
                <w:sz w:val="20"/>
                <w:szCs w:val="20"/>
                <w:lang w:val="es-MX" w:eastAsia="es-MX"/>
              </w:rPr>
              <w:t>202</w:t>
            </w:r>
            <w:r>
              <w:rPr>
                <w:b/>
                <w:bCs/>
                <w:sz w:val="20"/>
                <w:szCs w:val="20"/>
                <w:lang w:val="es-MX" w:eastAsia="es-MX"/>
              </w:rPr>
              <w:t>5</w:t>
            </w:r>
          </w:p>
        </w:tc>
        <w:tc>
          <w:tcPr>
            <w:tcW w:w="2468"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08D20B40" w14:textId="77777777" w:rsidR="005B2A50" w:rsidRPr="00076395" w:rsidRDefault="005B2A50" w:rsidP="00411DA3">
            <w:pPr>
              <w:spacing w:line="252" w:lineRule="auto"/>
              <w:jc w:val="center"/>
              <w:rPr>
                <w:b/>
                <w:bCs/>
                <w:sz w:val="20"/>
                <w:szCs w:val="20"/>
                <w:lang w:val="es-MX" w:eastAsia="es-MX"/>
              </w:rPr>
            </w:pPr>
            <w:r w:rsidRPr="00076395">
              <w:rPr>
                <w:b/>
                <w:bCs/>
                <w:sz w:val="20"/>
                <w:szCs w:val="20"/>
                <w:lang w:val="es-MX" w:eastAsia="es-MX"/>
              </w:rPr>
              <w:t>INCREMENTO</w:t>
            </w:r>
          </w:p>
        </w:tc>
      </w:tr>
      <w:tr w:rsidR="005B2A50" w:rsidRPr="00076395" w14:paraId="30F61F20" w14:textId="77777777" w:rsidTr="00411DA3">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761C0" w14:textId="77777777" w:rsidR="005B2A50" w:rsidRPr="00076395" w:rsidRDefault="005B2A50" w:rsidP="00411DA3">
            <w:pPr>
              <w:rPr>
                <w:b/>
                <w:bCs/>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7DF1B7" w14:textId="77777777" w:rsidR="005B2A50" w:rsidRPr="00076395" w:rsidRDefault="005B2A50" w:rsidP="00411DA3">
            <w:pPr>
              <w:rPr>
                <w:b/>
                <w:bCs/>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AEFA23" w14:textId="77777777" w:rsidR="005B2A50" w:rsidRPr="00076395" w:rsidRDefault="005B2A50" w:rsidP="00411DA3">
            <w:pPr>
              <w:rPr>
                <w:b/>
                <w:bCs/>
                <w:sz w:val="20"/>
                <w:szCs w:val="20"/>
                <w:lang w:val="es-MX" w:eastAsia="es-MX"/>
              </w:rPr>
            </w:pPr>
          </w:p>
        </w:tc>
        <w:tc>
          <w:tcPr>
            <w:tcW w:w="1770" w:type="dxa"/>
            <w:tcBorders>
              <w:top w:val="nil"/>
              <w:left w:val="nil"/>
              <w:bottom w:val="single" w:sz="4" w:space="0" w:color="auto"/>
              <w:right w:val="single" w:sz="4" w:space="0" w:color="auto"/>
            </w:tcBorders>
            <w:shd w:val="clear" w:color="auto" w:fill="D9D9D9"/>
            <w:noWrap/>
            <w:vAlign w:val="center"/>
            <w:hideMark/>
          </w:tcPr>
          <w:p w14:paraId="5EBEBF8B" w14:textId="77777777" w:rsidR="005B2A50" w:rsidRPr="00076395" w:rsidRDefault="005B2A50" w:rsidP="00411DA3">
            <w:pPr>
              <w:spacing w:line="252" w:lineRule="auto"/>
              <w:jc w:val="center"/>
              <w:rPr>
                <w:b/>
                <w:bCs/>
                <w:sz w:val="20"/>
                <w:szCs w:val="20"/>
                <w:lang w:val="es-MX" w:eastAsia="es-MX"/>
              </w:rPr>
            </w:pPr>
            <w:r w:rsidRPr="00076395">
              <w:rPr>
                <w:b/>
                <w:bCs/>
                <w:sz w:val="20"/>
                <w:szCs w:val="20"/>
                <w:lang w:val="es-MX" w:eastAsia="es-MX"/>
              </w:rPr>
              <w:t>NOMINAL ($)</w:t>
            </w:r>
          </w:p>
        </w:tc>
        <w:tc>
          <w:tcPr>
            <w:tcW w:w="698" w:type="dxa"/>
            <w:tcBorders>
              <w:top w:val="nil"/>
              <w:left w:val="nil"/>
              <w:bottom w:val="single" w:sz="4" w:space="0" w:color="auto"/>
              <w:right w:val="single" w:sz="4" w:space="0" w:color="auto"/>
            </w:tcBorders>
            <w:shd w:val="clear" w:color="auto" w:fill="D9D9D9"/>
            <w:noWrap/>
            <w:vAlign w:val="center"/>
            <w:hideMark/>
          </w:tcPr>
          <w:p w14:paraId="56C7257D" w14:textId="77777777" w:rsidR="005B2A50" w:rsidRPr="00076395" w:rsidRDefault="005B2A50" w:rsidP="00411DA3">
            <w:pPr>
              <w:spacing w:line="252" w:lineRule="auto"/>
              <w:jc w:val="center"/>
              <w:rPr>
                <w:b/>
                <w:bCs/>
                <w:sz w:val="20"/>
                <w:szCs w:val="20"/>
                <w:lang w:val="es-MX" w:eastAsia="es-MX"/>
              </w:rPr>
            </w:pPr>
            <w:r w:rsidRPr="00076395">
              <w:rPr>
                <w:b/>
                <w:bCs/>
                <w:sz w:val="20"/>
                <w:szCs w:val="20"/>
                <w:lang w:val="es-MX" w:eastAsia="es-MX"/>
              </w:rPr>
              <w:t>%</w:t>
            </w:r>
          </w:p>
        </w:tc>
      </w:tr>
      <w:tr w:rsidR="005B2A50" w:rsidRPr="00076395" w14:paraId="3A6327FB" w14:textId="77777777" w:rsidTr="00411DA3">
        <w:trPr>
          <w:trHeight w:val="531"/>
          <w:jc w:val="center"/>
        </w:trPr>
        <w:tc>
          <w:tcPr>
            <w:tcW w:w="1720" w:type="dxa"/>
            <w:tcBorders>
              <w:top w:val="nil"/>
              <w:left w:val="single" w:sz="4" w:space="0" w:color="auto"/>
              <w:bottom w:val="single" w:sz="4" w:space="0" w:color="auto"/>
              <w:right w:val="single" w:sz="4" w:space="0" w:color="auto"/>
            </w:tcBorders>
            <w:vAlign w:val="center"/>
            <w:hideMark/>
          </w:tcPr>
          <w:p w14:paraId="6D14EBFC" w14:textId="77777777" w:rsidR="005B2A50" w:rsidRPr="009A2CD6" w:rsidRDefault="005B2A50" w:rsidP="00411DA3">
            <w:pPr>
              <w:spacing w:line="252" w:lineRule="auto"/>
              <w:rPr>
                <w:color w:val="FF0000"/>
                <w:sz w:val="20"/>
                <w:szCs w:val="20"/>
                <w:lang w:val="es-MX" w:eastAsia="es-MX"/>
              </w:rPr>
            </w:pPr>
            <w:r w:rsidRPr="009F321B">
              <w:rPr>
                <w:sz w:val="20"/>
                <w:szCs w:val="20"/>
              </w:rPr>
              <w:t>Fideicomisos</w:t>
            </w:r>
          </w:p>
        </w:tc>
        <w:tc>
          <w:tcPr>
            <w:tcW w:w="1660" w:type="dxa"/>
            <w:tcBorders>
              <w:top w:val="nil"/>
              <w:left w:val="nil"/>
              <w:bottom w:val="single" w:sz="4" w:space="0" w:color="auto"/>
              <w:right w:val="single" w:sz="4" w:space="0" w:color="auto"/>
            </w:tcBorders>
            <w:noWrap/>
            <w:vAlign w:val="center"/>
            <w:hideMark/>
          </w:tcPr>
          <w:p w14:paraId="56AE08D3" w14:textId="77777777" w:rsidR="005B2A50" w:rsidRPr="009A2CD6" w:rsidRDefault="005B2A50" w:rsidP="00411DA3">
            <w:pPr>
              <w:jc w:val="right"/>
              <w:rPr>
                <w:color w:val="FF0000"/>
                <w:sz w:val="20"/>
                <w:szCs w:val="20"/>
                <w:lang w:val="es-MX" w:eastAsia="es-MX"/>
              </w:rPr>
            </w:pPr>
            <w:r>
              <w:rPr>
                <w:color w:val="000000"/>
                <w:sz w:val="20"/>
                <w:szCs w:val="20"/>
              </w:rPr>
              <w:t>30,736,685.00</w:t>
            </w:r>
          </w:p>
        </w:tc>
        <w:tc>
          <w:tcPr>
            <w:tcW w:w="1660" w:type="dxa"/>
            <w:tcBorders>
              <w:top w:val="nil"/>
              <w:left w:val="nil"/>
              <w:bottom w:val="single" w:sz="4" w:space="0" w:color="auto"/>
              <w:right w:val="single" w:sz="4" w:space="0" w:color="auto"/>
            </w:tcBorders>
            <w:noWrap/>
            <w:vAlign w:val="center"/>
            <w:hideMark/>
          </w:tcPr>
          <w:p w14:paraId="6D955E3E" w14:textId="77777777" w:rsidR="005B2A50" w:rsidRPr="009A2CD6" w:rsidRDefault="005B2A50" w:rsidP="00411DA3">
            <w:pPr>
              <w:jc w:val="right"/>
              <w:rPr>
                <w:color w:val="FF0000"/>
                <w:sz w:val="20"/>
                <w:szCs w:val="20"/>
              </w:rPr>
            </w:pPr>
            <w:r>
              <w:rPr>
                <w:color w:val="000000"/>
                <w:sz w:val="20"/>
                <w:szCs w:val="20"/>
              </w:rPr>
              <w:t>11,822,239.00</w:t>
            </w:r>
          </w:p>
        </w:tc>
        <w:tc>
          <w:tcPr>
            <w:tcW w:w="1770" w:type="dxa"/>
            <w:tcBorders>
              <w:top w:val="nil"/>
              <w:left w:val="nil"/>
              <w:bottom w:val="single" w:sz="4" w:space="0" w:color="auto"/>
              <w:right w:val="single" w:sz="4" w:space="0" w:color="auto"/>
            </w:tcBorders>
            <w:noWrap/>
            <w:vAlign w:val="center"/>
            <w:hideMark/>
          </w:tcPr>
          <w:p w14:paraId="164D5754" w14:textId="77777777" w:rsidR="005B2A50" w:rsidRPr="009A2CD6" w:rsidRDefault="005B2A50" w:rsidP="00411DA3">
            <w:pPr>
              <w:jc w:val="right"/>
              <w:rPr>
                <w:color w:val="FF0000"/>
                <w:sz w:val="20"/>
                <w:szCs w:val="20"/>
              </w:rPr>
            </w:pPr>
            <w:r>
              <w:rPr>
                <w:color w:val="000000"/>
                <w:sz w:val="20"/>
                <w:szCs w:val="20"/>
              </w:rPr>
              <w:t>-18,914,446.00</w:t>
            </w:r>
          </w:p>
        </w:tc>
        <w:tc>
          <w:tcPr>
            <w:tcW w:w="698" w:type="dxa"/>
            <w:tcBorders>
              <w:top w:val="nil"/>
              <w:left w:val="nil"/>
              <w:bottom w:val="single" w:sz="4" w:space="0" w:color="auto"/>
              <w:right w:val="single" w:sz="4" w:space="0" w:color="auto"/>
            </w:tcBorders>
            <w:noWrap/>
            <w:vAlign w:val="center"/>
            <w:hideMark/>
          </w:tcPr>
          <w:p w14:paraId="301BED16" w14:textId="77777777" w:rsidR="005B2A50" w:rsidRPr="009A2CD6" w:rsidRDefault="005B2A50" w:rsidP="00411DA3">
            <w:pPr>
              <w:jc w:val="center"/>
              <w:rPr>
                <w:color w:val="FF0000"/>
                <w:sz w:val="20"/>
                <w:szCs w:val="20"/>
              </w:rPr>
            </w:pPr>
            <w:r>
              <w:rPr>
                <w:color w:val="000000"/>
                <w:sz w:val="20"/>
                <w:szCs w:val="20"/>
              </w:rPr>
              <w:t>-61.5</w:t>
            </w:r>
          </w:p>
        </w:tc>
      </w:tr>
      <w:tr w:rsidR="005B2A50" w:rsidRPr="00076395" w14:paraId="3F814BF0" w14:textId="77777777" w:rsidTr="00411DA3">
        <w:trPr>
          <w:trHeight w:val="409"/>
          <w:jc w:val="center"/>
        </w:trPr>
        <w:tc>
          <w:tcPr>
            <w:tcW w:w="1720" w:type="dxa"/>
            <w:tcBorders>
              <w:top w:val="nil"/>
              <w:left w:val="single" w:sz="4" w:space="0" w:color="auto"/>
              <w:bottom w:val="single" w:sz="4" w:space="0" w:color="auto"/>
              <w:right w:val="single" w:sz="4" w:space="0" w:color="auto"/>
            </w:tcBorders>
            <w:vAlign w:val="center"/>
            <w:hideMark/>
          </w:tcPr>
          <w:p w14:paraId="09018A80" w14:textId="77777777" w:rsidR="005B2A50" w:rsidRPr="009A2CD6" w:rsidRDefault="005B2A50" w:rsidP="00411DA3">
            <w:pPr>
              <w:spacing w:line="252" w:lineRule="auto"/>
              <w:rPr>
                <w:color w:val="FF0000"/>
                <w:sz w:val="20"/>
                <w:szCs w:val="20"/>
              </w:rPr>
            </w:pPr>
            <w:r w:rsidRPr="009F321B">
              <w:rPr>
                <w:sz w:val="20"/>
                <w:szCs w:val="20"/>
              </w:rPr>
              <w:t>Medio Ambiente</w:t>
            </w:r>
          </w:p>
        </w:tc>
        <w:tc>
          <w:tcPr>
            <w:tcW w:w="1660" w:type="dxa"/>
            <w:tcBorders>
              <w:top w:val="nil"/>
              <w:left w:val="nil"/>
              <w:bottom w:val="single" w:sz="4" w:space="0" w:color="auto"/>
              <w:right w:val="single" w:sz="4" w:space="0" w:color="auto"/>
            </w:tcBorders>
            <w:noWrap/>
            <w:vAlign w:val="center"/>
            <w:hideMark/>
          </w:tcPr>
          <w:p w14:paraId="1B2AFA76" w14:textId="77777777" w:rsidR="005B2A50" w:rsidRPr="009A2CD6" w:rsidRDefault="005B2A50" w:rsidP="00411DA3">
            <w:pPr>
              <w:jc w:val="right"/>
              <w:rPr>
                <w:color w:val="FF0000"/>
                <w:sz w:val="20"/>
                <w:szCs w:val="20"/>
              </w:rPr>
            </w:pPr>
            <w:r>
              <w:rPr>
                <w:color w:val="000000"/>
                <w:sz w:val="20"/>
                <w:szCs w:val="20"/>
              </w:rPr>
              <w:t>272,593,070.00</w:t>
            </w:r>
          </w:p>
        </w:tc>
        <w:tc>
          <w:tcPr>
            <w:tcW w:w="1660" w:type="dxa"/>
            <w:tcBorders>
              <w:top w:val="nil"/>
              <w:left w:val="nil"/>
              <w:bottom w:val="single" w:sz="4" w:space="0" w:color="auto"/>
              <w:right w:val="single" w:sz="4" w:space="0" w:color="auto"/>
            </w:tcBorders>
            <w:noWrap/>
            <w:vAlign w:val="center"/>
            <w:hideMark/>
          </w:tcPr>
          <w:p w14:paraId="5AD74FEA" w14:textId="77777777" w:rsidR="005B2A50" w:rsidRPr="009A2CD6" w:rsidRDefault="005B2A50" w:rsidP="00411DA3">
            <w:pPr>
              <w:jc w:val="right"/>
              <w:rPr>
                <w:color w:val="FF0000"/>
                <w:sz w:val="20"/>
                <w:szCs w:val="20"/>
              </w:rPr>
            </w:pPr>
            <w:r>
              <w:rPr>
                <w:color w:val="000000"/>
                <w:sz w:val="20"/>
                <w:szCs w:val="20"/>
              </w:rPr>
              <w:t>274,243,848.00</w:t>
            </w:r>
          </w:p>
        </w:tc>
        <w:tc>
          <w:tcPr>
            <w:tcW w:w="1770" w:type="dxa"/>
            <w:tcBorders>
              <w:top w:val="nil"/>
              <w:left w:val="nil"/>
              <w:bottom w:val="single" w:sz="4" w:space="0" w:color="auto"/>
              <w:right w:val="single" w:sz="4" w:space="0" w:color="auto"/>
            </w:tcBorders>
            <w:noWrap/>
            <w:vAlign w:val="center"/>
            <w:hideMark/>
          </w:tcPr>
          <w:p w14:paraId="1121B60D" w14:textId="77777777" w:rsidR="005B2A50" w:rsidRPr="009A2CD6" w:rsidRDefault="005B2A50" w:rsidP="00411DA3">
            <w:pPr>
              <w:jc w:val="right"/>
              <w:rPr>
                <w:color w:val="FF0000"/>
                <w:sz w:val="20"/>
                <w:szCs w:val="20"/>
              </w:rPr>
            </w:pPr>
            <w:r>
              <w:rPr>
                <w:color w:val="000000"/>
                <w:sz w:val="20"/>
                <w:szCs w:val="20"/>
              </w:rPr>
              <w:t>1,650,778.00</w:t>
            </w:r>
          </w:p>
        </w:tc>
        <w:tc>
          <w:tcPr>
            <w:tcW w:w="698" w:type="dxa"/>
            <w:tcBorders>
              <w:top w:val="nil"/>
              <w:left w:val="nil"/>
              <w:bottom w:val="single" w:sz="4" w:space="0" w:color="auto"/>
              <w:right w:val="single" w:sz="4" w:space="0" w:color="auto"/>
            </w:tcBorders>
            <w:noWrap/>
            <w:vAlign w:val="center"/>
            <w:hideMark/>
          </w:tcPr>
          <w:p w14:paraId="5551D5BB" w14:textId="77777777" w:rsidR="005B2A50" w:rsidRPr="009A2CD6" w:rsidRDefault="005B2A50" w:rsidP="00411DA3">
            <w:pPr>
              <w:jc w:val="center"/>
              <w:rPr>
                <w:color w:val="FF0000"/>
                <w:sz w:val="20"/>
                <w:szCs w:val="20"/>
              </w:rPr>
            </w:pPr>
            <w:r>
              <w:rPr>
                <w:color w:val="000000"/>
                <w:sz w:val="20"/>
                <w:szCs w:val="20"/>
              </w:rPr>
              <w:t>0.6</w:t>
            </w:r>
          </w:p>
        </w:tc>
      </w:tr>
      <w:tr w:rsidR="005B2A50" w:rsidRPr="00076395" w14:paraId="644B7C7C" w14:textId="77777777" w:rsidTr="00411DA3">
        <w:trPr>
          <w:trHeight w:val="385"/>
          <w:jc w:val="center"/>
        </w:trPr>
        <w:tc>
          <w:tcPr>
            <w:tcW w:w="1720" w:type="dxa"/>
            <w:tcBorders>
              <w:top w:val="nil"/>
              <w:left w:val="single" w:sz="4" w:space="0" w:color="auto"/>
              <w:bottom w:val="single" w:sz="4" w:space="0" w:color="auto"/>
              <w:right w:val="single" w:sz="4" w:space="0" w:color="auto"/>
            </w:tcBorders>
            <w:vAlign w:val="center"/>
            <w:hideMark/>
          </w:tcPr>
          <w:p w14:paraId="5E4B0A55" w14:textId="77777777" w:rsidR="005B2A50" w:rsidRPr="009A2CD6" w:rsidRDefault="005B2A50" w:rsidP="00411DA3">
            <w:pPr>
              <w:spacing w:line="252" w:lineRule="auto"/>
              <w:rPr>
                <w:color w:val="FF0000"/>
                <w:sz w:val="20"/>
                <w:szCs w:val="20"/>
              </w:rPr>
            </w:pPr>
            <w:r w:rsidRPr="009F321B">
              <w:rPr>
                <w:sz w:val="20"/>
                <w:szCs w:val="20"/>
              </w:rPr>
              <w:t>Educación</w:t>
            </w:r>
          </w:p>
        </w:tc>
        <w:tc>
          <w:tcPr>
            <w:tcW w:w="1660" w:type="dxa"/>
            <w:tcBorders>
              <w:top w:val="nil"/>
              <w:left w:val="nil"/>
              <w:bottom w:val="single" w:sz="4" w:space="0" w:color="auto"/>
              <w:right w:val="single" w:sz="4" w:space="0" w:color="auto"/>
            </w:tcBorders>
            <w:noWrap/>
            <w:vAlign w:val="center"/>
            <w:hideMark/>
          </w:tcPr>
          <w:p w14:paraId="7FD8380A" w14:textId="77777777" w:rsidR="005B2A50" w:rsidRPr="009A2CD6" w:rsidRDefault="005B2A50" w:rsidP="00411DA3">
            <w:pPr>
              <w:jc w:val="right"/>
              <w:rPr>
                <w:color w:val="FF0000"/>
                <w:sz w:val="20"/>
                <w:szCs w:val="20"/>
              </w:rPr>
            </w:pPr>
            <w:r>
              <w:rPr>
                <w:color w:val="000000"/>
                <w:sz w:val="20"/>
                <w:szCs w:val="20"/>
              </w:rPr>
              <w:t>10,351,303,796.00</w:t>
            </w:r>
          </w:p>
        </w:tc>
        <w:tc>
          <w:tcPr>
            <w:tcW w:w="1660" w:type="dxa"/>
            <w:tcBorders>
              <w:top w:val="nil"/>
              <w:left w:val="nil"/>
              <w:bottom w:val="single" w:sz="4" w:space="0" w:color="auto"/>
              <w:right w:val="single" w:sz="4" w:space="0" w:color="auto"/>
            </w:tcBorders>
            <w:noWrap/>
            <w:vAlign w:val="center"/>
            <w:hideMark/>
          </w:tcPr>
          <w:p w14:paraId="24EADDAE" w14:textId="77777777" w:rsidR="005B2A50" w:rsidRPr="009A2CD6" w:rsidRDefault="005B2A50" w:rsidP="00411DA3">
            <w:pPr>
              <w:jc w:val="right"/>
              <w:rPr>
                <w:color w:val="FF0000"/>
                <w:sz w:val="20"/>
                <w:szCs w:val="20"/>
              </w:rPr>
            </w:pPr>
            <w:r>
              <w:rPr>
                <w:color w:val="000000"/>
                <w:sz w:val="20"/>
                <w:szCs w:val="20"/>
              </w:rPr>
              <w:t>10,742,821,879.00</w:t>
            </w:r>
          </w:p>
        </w:tc>
        <w:tc>
          <w:tcPr>
            <w:tcW w:w="1770" w:type="dxa"/>
            <w:tcBorders>
              <w:top w:val="nil"/>
              <w:left w:val="nil"/>
              <w:bottom w:val="single" w:sz="4" w:space="0" w:color="auto"/>
              <w:right w:val="single" w:sz="4" w:space="0" w:color="auto"/>
            </w:tcBorders>
            <w:noWrap/>
            <w:vAlign w:val="center"/>
            <w:hideMark/>
          </w:tcPr>
          <w:p w14:paraId="61473466" w14:textId="77777777" w:rsidR="005B2A50" w:rsidRPr="009A2CD6" w:rsidRDefault="005B2A50" w:rsidP="00411DA3">
            <w:pPr>
              <w:jc w:val="right"/>
              <w:rPr>
                <w:color w:val="FF0000"/>
                <w:sz w:val="20"/>
                <w:szCs w:val="20"/>
              </w:rPr>
            </w:pPr>
            <w:r>
              <w:rPr>
                <w:color w:val="000000"/>
                <w:sz w:val="20"/>
                <w:szCs w:val="20"/>
              </w:rPr>
              <w:t>391,518,083.00</w:t>
            </w:r>
          </w:p>
        </w:tc>
        <w:tc>
          <w:tcPr>
            <w:tcW w:w="698" w:type="dxa"/>
            <w:tcBorders>
              <w:top w:val="nil"/>
              <w:left w:val="nil"/>
              <w:bottom w:val="single" w:sz="4" w:space="0" w:color="auto"/>
              <w:right w:val="single" w:sz="4" w:space="0" w:color="auto"/>
            </w:tcBorders>
            <w:noWrap/>
            <w:vAlign w:val="center"/>
            <w:hideMark/>
          </w:tcPr>
          <w:p w14:paraId="03B2253E" w14:textId="77777777" w:rsidR="005B2A50" w:rsidRPr="009A2CD6" w:rsidRDefault="005B2A50" w:rsidP="00411DA3">
            <w:pPr>
              <w:jc w:val="center"/>
              <w:rPr>
                <w:color w:val="FF0000"/>
                <w:sz w:val="20"/>
                <w:szCs w:val="20"/>
              </w:rPr>
            </w:pPr>
            <w:r>
              <w:rPr>
                <w:color w:val="000000"/>
                <w:sz w:val="20"/>
                <w:szCs w:val="20"/>
              </w:rPr>
              <w:t>3.8</w:t>
            </w:r>
          </w:p>
        </w:tc>
      </w:tr>
      <w:tr w:rsidR="005B2A50" w:rsidRPr="00076395" w14:paraId="76F7FB0B" w14:textId="77777777" w:rsidTr="00411DA3">
        <w:trPr>
          <w:trHeight w:val="437"/>
          <w:jc w:val="center"/>
        </w:trPr>
        <w:tc>
          <w:tcPr>
            <w:tcW w:w="1720" w:type="dxa"/>
            <w:tcBorders>
              <w:top w:val="nil"/>
              <w:left w:val="single" w:sz="4" w:space="0" w:color="auto"/>
              <w:bottom w:val="single" w:sz="4" w:space="0" w:color="auto"/>
              <w:right w:val="single" w:sz="4" w:space="0" w:color="auto"/>
            </w:tcBorders>
            <w:vAlign w:val="center"/>
            <w:hideMark/>
          </w:tcPr>
          <w:p w14:paraId="3EF38D65" w14:textId="77777777" w:rsidR="005B2A50" w:rsidRPr="009A2CD6" w:rsidRDefault="005B2A50" w:rsidP="00411DA3">
            <w:pPr>
              <w:spacing w:line="252" w:lineRule="auto"/>
              <w:rPr>
                <w:color w:val="FF0000"/>
                <w:sz w:val="20"/>
                <w:szCs w:val="20"/>
              </w:rPr>
            </w:pPr>
            <w:r w:rsidRPr="009F321B">
              <w:rPr>
                <w:sz w:val="20"/>
                <w:szCs w:val="20"/>
              </w:rPr>
              <w:t>Salud</w:t>
            </w:r>
          </w:p>
        </w:tc>
        <w:tc>
          <w:tcPr>
            <w:tcW w:w="1660" w:type="dxa"/>
            <w:tcBorders>
              <w:top w:val="nil"/>
              <w:left w:val="nil"/>
              <w:bottom w:val="single" w:sz="4" w:space="0" w:color="auto"/>
              <w:right w:val="single" w:sz="4" w:space="0" w:color="auto"/>
            </w:tcBorders>
            <w:noWrap/>
            <w:vAlign w:val="center"/>
            <w:hideMark/>
          </w:tcPr>
          <w:p w14:paraId="20842832" w14:textId="77777777" w:rsidR="005B2A50" w:rsidRPr="009A2CD6" w:rsidRDefault="005B2A50" w:rsidP="00411DA3">
            <w:pPr>
              <w:jc w:val="right"/>
              <w:rPr>
                <w:color w:val="FF0000"/>
                <w:sz w:val="20"/>
                <w:szCs w:val="20"/>
              </w:rPr>
            </w:pPr>
            <w:r>
              <w:rPr>
                <w:color w:val="000000"/>
                <w:sz w:val="20"/>
                <w:szCs w:val="20"/>
              </w:rPr>
              <w:t>3,375,243,144.00</w:t>
            </w:r>
          </w:p>
        </w:tc>
        <w:tc>
          <w:tcPr>
            <w:tcW w:w="1660" w:type="dxa"/>
            <w:tcBorders>
              <w:top w:val="nil"/>
              <w:left w:val="nil"/>
              <w:bottom w:val="single" w:sz="4" w:space="0" w:color="auto"/>
              <w:right w:val="single" w:sz="4" w:space="0" w:color="auto"/>
            </w:tcBorders>
            <w:noWrap/>
            <w:vAlign w:val="center"/>
            <w:hideMark/>
          </w:tcPr>
          <w:p w14:paraId="0906CB1A" w14:textId="77777777" w:rsidR="005B2A50" w:rsidRPr="009A2CD6" w:rsidRDefault="005B2A50" w:rsidP="00411DA3">
            <w:pPr>
              <w:jc w:val="right"/>
              <w:rPr>
                <w:color w:val="FF0000"/>
                <w:sz w:val="20"/>
                <w:szCs w:val="20"/>
              </w:rPr>
            </w:pPr>
            <w:r>
              <w:rPr>
                <w:color w:val="000000"/>
                <w:sz w:val="20"/>
                <w:szCs w:val="20"/>
              </w:rPr>
              <w:t>3,472,617,704.00</w:t>
            </w:r>
          </w:p>
        </w:tc>
        <w:tc>
          <w:tcPr>
            <w:tcW w:w="1770" w:type="dxa"/>
            <w:tcBorders>
              <w:top w:val="nil"/>
              <w:left w:val="nil"/>
              <w:bottom w:val="single" w:sz="4" w:space="0" w:color="auto"/>
              <w:right w:val="single" w:sz="4" w:space="0" w:color="auto"/>
            </w:tcBorders>
            <w:noWrap/>
            <w:vAlign w:val="center"/>
            <w:hideMark/>
          </w:tcPr>
          <w:p w14:paraId="64AA5C1D" w14:textId="77777777" w:rsidR="005B2A50" w:rsidRPr="009A2CD6" w:rsidRDefault="005B2A50" w:rsidP="00411DA3">
            <w:pPr>
              <w:jc w:val="right"/>
              <w:rPr>
                <w:color w:val="FF0000"/>
                <w:sz w:val="20"/>
                <w:szCs w:val="20"/>
              </w:rPr>
            </w:pPr>
            <w:r>
              <w:rPr>
                <w:color w:val="000000"/>
                <w:sz w:val="20"/>
                <w:szCs w:val="20"/>
              </w:rPr>
              <w:t>97,374,560.00</w:t>
            </w:r>
          </w:p>
        </w:tc>
        <w:tc>
          <w:tcPr>
            <w:tcW w:w="698" w:type="dxa"/>
            <w:tcBorders>
              <w:top w:val="nil"/>
              <w:left w:val="nil"/>
              <w:bottom w:val="single" w:sz="4" w:space="0" w:color="auto"/>
              <w:right w:val="single" w:sz="4" w:space="0" w:color="auto"/>
            </w:tcBorders>
            <w:noWrap/>
            <w:vAlign w:val="center"/>
            <w:hideMark/>
          </w:tcPr>
          <w:p w14:paraId="769CC329" w14:textId="77777777" w:rsidR="005B2A50" w:rsidRPr="009A2CD6" w:rsidRDefault="005B2A50" w:rsidP="00411DA3">
            <w:pPr>
              <w:jc w:val="center"/>
              <w:rPr>
                <w:color w:val="FF0000"/>
                <w:sz w:val="20"/>
                <w:szCs w:val="20"/>
              </w:rPr>
            </w:pPr>
            <w:r>
              <w:rPr>
                <w:color w:val="000000"/>
                <w:sz w:val="20"/>
                <w:szCs w:val="20"/>
              </w:rPr>
              <w:t>2.9</w:t>
            </w:r>
          </w:p>
        </w:tc>
      </w:tr>
      <w:tr w:rsidR="005B2A50" w:rsidRPr="00076395" w14:paraId="3FC08ECD" w14:textId="77777777" w:rsidTr="00411DA3">
        <w:trPr>
          <w:trHeight w:val="513"/>
          <w:jc w:val="center"/>
        </w:trPr>
        <w:tc>
          <w:tcPr>
            <w:tcW w:w="1720" w:type="dxa"/>
            <w:tcBorders>
              <w:top w:val="nil"/>
              <w:left w:val="single" w:sz="4" w:space="0" w:color="auto"/>
              <w:bottom w:val="single" w:sz="4" w:space="0" w:color="auto"/>
              <w:right w:val="single" w:sz="4" w:space="0" w:color="auto"/>
            </w:tcBorders>
            <w:vAlign w:val="center"/>
            <w:hideMark/>
          </w:tcPr>
          <w:p w14:paraId="2266DEA4" w14:textId="77777777" w:rsidR="005B2A50" w:rsidRPr="009A2CD6" w:rsidRDefault="005B2A50" w:rsidP="00411DA3">
            <w:pPr>
              <w:spacing w:line="252" w:lineRule="auto"/>
              <w:rPr>
                <w:color w:val="FF0000"/>
                <w:sz w:val="20"/>
                <w:szCs w:val="20"/>
              </w:rPr>
            </w:pPr>
            <w:r w:rsidRPr="009F321B">
              <w:rPr>
                <w:sz w:val="20"/>
                <w:szCs w:val="20"/>
              </w:rPr>
              <w:t>Gasto Social</w:t>
            </w:r>
          </w:p>
        </w:tc>
        <w:tc>
          <w:tcPr>
            <w:tcW w:w="1660" w:type="dxa"/>
            <w:tcBorders>
              <w:top w:val="nil"/>
              <w:left w:val="nil"/>
              <w:bottom w:val="single" w:sz="4" w:space="0" w:color="auto"/>
              <w:right w:val="single" w:sz="4" w:space="0" w:color="auto"/>
            </w:tcBorders>
            <w:noWrap/>
            <w:vAlign w:val="center"/>
            <w:hideMark/>
          </w:tcPr>
          <w:p w14:paraId="5F7806FA" w14:textId="77777777" w:rsidR="005B2A50" w:rsidRPr="009A2CD6" w:rsidRDefault="005B2A50" w:rsidP="00411DA3">
            <w:pPr>
              <w:jc w:val="right"/>
              <w:rPr>
                <w:color w:val="FF0000"/>
                <w:sz w:val="20"/>
                <w:szCs w:val="20"/>
              </w:rPr>
            </w:pPr>
            <w:r>
              <w:rPr>
                <w:color w:val="000000"/>
                <w:sz w:val="20"/>
                <w:szCs w:val="20"/>
              </w:rPr>
              <w:t>3,275,532,806.00</w:t>
            </w:r>
          </w:p>
        </w:tc>
        <w:tc>
          <w:tcPr>
            <w:tcW w:w="1660" w:type="dxa"/>
            <w:tcBorders>
              <w:top w:val="nil"/>
              <w:left w:val="nil"/>
              <w:bottom w:val="single" w:sz="4" w:space="0" w:color="auto"/>
              <w:right w:val="single" w:sz="4" w:space="0" w:color="auto"/>
            </w:tcBorders>
            <w:noWrap/>
            <w:vAlign w:val="center"/>
            <w:hideMark/>
          </w:tcPr>
          <w:p w14:paraId="1AB09703" w14:textId="77777777" w:rsidR="005B2A50" w:rsidRPr="009A2CD6" w:rsidRDefault="005B2A50" w:rsidP="00411DA3">
            <w:pPr>
              <w:jc w:val="right"/>
              <w:rPr>
                <w:color w:val="FF0000"/>
                <w:sz w:val="20"/>
                <w:szCs w:val="20"/>
              </w:rPr>
            </w:pPr>
            <w:r>
              <w:rPr>
                <w:color w:val="000000"/>
                <w:sz w:val="20"/>
                <w:szCs w:val="20"/>
              </w:rPr>
              <w:t>3,505,876,508.00</w:t>
            </w:r>
          </w:p>
        </w:tc>
        <w:tc>
          <w:tcPr>
            <w:tcW w:w="1770" w:type="dxa"/>
            <w:tcBorders>
              <w:top w:val="nil"/>
              <w:left w:val="nil"/>
              <w:bottom w:val="single" w:sz="4" w:space="0" w:color="auto"/>
              <w:right w:val="single" w:sz="4" w:space="0" w:color="auto"/>
            </w:tcBorders>
            <w:noWrap/>
            <w:vAlign w:val="center"/>
            <w:hideMark/>
          </w:tcPr>
          <w:p w14:paraId="039E210A" w14:textId="77777777" w:rsidR="005B2A50" w:rsidRPr="009A2CD6" w:rsidRDefault="005B2A50" w:rsidP="00411DA3">
            <w:pPr>
              <w:jc w:val="right"/>
              <w:rPr>
                <w:color w:val="FF0000"/>
                <w:sz w:val="20"/>
                <w:szCs w:val="20"/>
              </w:rPr>
            </w:pPr>
            <w:r>
              <w:rPr>
                <w:color w:val="000000"/>
                <w:sz w:val="20"/>
                <w:szCs w:val="20"/>
              </w:rPr>
              <w:t>230,343,702.00</w:t>
            </w:r>
          </w:p>
        </w:tc>
        <w:tc>
          <w:tcPr>
            <w:tcW w:w="698" w:type="dxa"/>
            <w:tcBorders>
              <w:top w:val="nil"/>
              <w:left w:val="nil"/>
              <w:bottom w:val="single" w:sz="4" w:space="0" w:color="auto"/>
              <w:right w:val="single" w:sz="4" w:space="0" w:color="auto"/>
            </w:tcBorders>
            <w:noWrap/>
            <w:vAlign w:val="center"/>
            <w:hideMark/>
          </w:tcPr>
          <w:p w14:paraId="64663307" w14:textId="77777777" w:rsidR="005B2A50" w:rsidRPr="009A2CD6" w:rsidRDefault="005B2A50" w:rsidP="00411DA3">
            <w:pPr>
              <w:jc w:val="center"/>
              <w:rPr>
                <w:color w:val="FF0000"/>
                <w:sz w:val="20"/>
                <w:szCs w:val="20"/>
              </w:rPr>
            </w:pPr>
            <w:r>
              <w:rPr>
                <w:color w:val="000000"/>
                <w:sz w:val="20"/>
                <w:szCs w:val="20"/>
              </w:rPr>
              <w:t>7.0</w:t>
            </w:r>
          </w:p>
        </w:tc>
      </w:tr>
      <w:tr w:rsidR="005B2A50" w:rsidRPr="00076395" w14:paraId="188E1BB5" w14:textId="77777777" w:rsidTr="00411DA3">
        <w:trPr>
          <w:trHeight w:val="525"/>
          <w:jc w:val="center"/>
        </w:trPr>
        <w:tc>
          <w:tcPr>
            <w:tcW w:w="1720" w:type="dxa"/>
            <w:tcBorders>
              <w:top w:val="nil"/>
              <w:left w:val="single" w:sz="4" w:space="0" w:color="auto"/>
              <w:bottom w:val="single" w:sz="4" w:space="0" w:color="auto"/>
              <w:right w:val="single" w:sz="4" w:space="0" w:color="auto"/>
            </w:tcBorders>
            <w:vAlign w:val="center"/>
            <w:hideMark/>
          </w:tcPr>
          <w:p w14:paraId="59332098" w14:textId="77777777" w:rsidR="005B2A50" w:rsidRPr="009A2CD6" w:rsidRDefault="005B2A50" w:rsidP="00411DA3">
            <w:pPr>
              <w:spacing w:line="252" w:lineRule="auto"/>
              <w:rPr>
                <w:color w:val="FF0000"/>
                <w:sz w:val="20"/>
                <w:szCs w:val="20"/>
              </w:rPr>
            </w:pPr>
            <w:r w:rsidRPr="009F321B">
              <w:rPr>
                <w:sz w:val="20"/>
                <w:szCs w:val="20"/>
              </w:rPr>
              <w:t>Gobierno y Seguridad</w:t>
            </w:r>
          </w:p>
        </w:tc>
        <w:tc>
          <w:tcPr>
            <w:tcW w:w="1660" w:type="dxa"/>
            <w:tcBorders>
              <w:top w:val="nil"/>
              <w:left w:val="nil"/>
              <w:bottom w:val="single" w:sz="4" w:space="0" w:color="auto"/>
              <w:right w:val="single" w:sz="4" w:space="0" w:color="auto"/>
            </w:tcBorders>
            <w:noWrap/>
            <w:vAlign w:val="center"/>
            <w:hideMark/>
          </w:tcPr>
          <w:p w14:paraId="1976440F" w14:textId="77777777" w:rsidR="005B2A50" w:rsidRPr="009A2CD6" w:rsidRDefault="005B2A50" w:rsidP="00411DA3">
            <w:pPr>
              <w:jc w:val="right"/>
              <w:rPr>
                <w:color w:val="FF0000"/>
                <w:sz w:val="20"/>
                <w:szCs w:val="20"/>
              </w:rPr>
            </w:pPr>
            <w:r>
              <w:rPr>
                <w:color w:val="000000"/>
                <w:sz w:val="20"/>
                <w:szCs w:val="20"/>
              </w:rPr>
              <w:t>2,055,451,903.00</w:t>
            </w:r>
          </w:p>
        </w:tc>
        <w:tc>
          <w:tcPr>
            <w:tcW w:w="1660" w:type="dxa"/>
            <w:tcBorders>
              <w:top w:val="nil"/>
              <w:left w:val="nil"/>
              <w:bottom w:val="single" w:sz="4" w:space="0" w:color="auto"/>
              <w:right w:val="single" w:sz="4" w:space="0" w:color="auto"/>
            </w:tcBorders>
            <w:noWrap/>
            <w:vAlign w:val="center"/>
            <w:hideMark/>
          </w:tcPr>
          <w:p w14:paraId="691DA8F2" w14:textId="77777777" w:rsidR="005B2A50" w:rsidRPr="009A2CD6" w:rsidRDefault="005B2A50" w:rsidP="00411DA3">
            <w:pPr>
              <w:jc w:val="right"/>
              <w:rPr>
                <w:color w:val="FF0000"/>
                <w:sz w:val="20"/>
                <w:szCs w:val="20"/>
              </w:rPr>
            </w:pPr>
            <w:r>
              <w:rPr>
                <w:color w:val="000000"/>
                <w:sz w:val="20"/>
                <w:szCs w:val="20"/>
              </w:rPr>
              <w:t>1,970,911,466.00</w:t>
            </w:r>
          </w:p>
        </w:tc>
        <w:tc>
          <w:tcPr>
            <w:tcW w:w="1770" w:type="dxa"/>
            <w:tcBorders>
              <w:top w:val="nil"/>
              <w:left w:val="nil"/>
              <w:bottom w:val="single" w:sz="4" w:space="0" w:color="auto"/>
              <w:right w:val="single" w:sz="4" w:space="0" w:color="auto"/>
            </w:tcBorders>
            <w:noWrap/>
            <w:vAlign w:val="center"/>
            <w:hideMark/>
          </w:tcPr>
          <w:p w14:paraId="31E74047" w14:textId="77777777" w:rsidR="005B2A50" w:rsidRPr="009A2CD6" w:rsidRDefault="005B2A50" w:rsidP="00411DA3">
            <w:pPr>
              <w:jc w:val="right"/>
              <w:rPr>
                <w:color w:val="FF0000"/>
                <w:sz w:val="20"/>
                <w:szCs w:val="20"/>
              </w:rPr>
            </w:pPr>
            <w:r>
              <w:rPr>
                <w:color w:val="000000"/>
                <w:sz w:val="20"/>
                <w:szCs w:val="20"/>
              </w:rPr>
              <w:t>-84,540,437.00</w:t>
            </w:r>
          </w:p>
        </w:tc>
        <w:tc>
          <w:tcPr>
            <w:tcW w:w="698" w:type="dxa"/>
            <w:tcBorders>
              <w:top w:val="nil"/>
              <w:left w:val="nil"/>
              <w:bottom w:val="single" w:sz="4" w:space="0" w:color="auto"/>
              <w:right w:val="single" w:sz="4" w:space="0" w:color="auto"/>
            </w:tcBorders>
            <w:noWrap/>
            <w:vAlign w:val="center"/>
            <w:hideMark/>
          </w:tcPr>
          <w:p w14:paraId="0F99C102" w14:textId="77777777" w:rsidR="005B2A50" w:rsidRPr="009A2CD6" w:rsidRDefault="005B2A50" w:rsidP="00411DA3">
            <w:pPr>
              <w:jc w:val="center"/>
              <w:rPr>
                <w:color w:val="FF0000"/>
                <w:sz w:val="20"/>
                <w:szCs w:val="20"/>
              </w:rPr>
            </w:pPr>
            <w:r>
              <w:rPr>
                <w:color w:val="000000"/>
                <w:sz w:val="20"/>
                <w:szCs w:val="20"/>
              </w:rPr>
              <w:t>-4.1</w:t>
            </w:r>
          </w:p>
        </w:tc>
      </w:tr>
      <w:tr w:rsidR="005B2A50" w:rsidRPr="00076395" w14:paraId="07D31F63" w14:textId="77777777" w:rsidTr="00411DA3">
        <w:trPr>
          <w:trHeight w:val="390"/>
          <w:jc w:val="center"/>
        </w:trPr>
        <w:tc>
          <w:tcPr>
            <w:tcW w:w="1720" w:type="dxa"/>
            <w:tcBorders>
              <w:top w:val="nil"/>
              <w:left w:val="single" w:sz="4" w:space="0" w:color="auto"/>
              <w:bottom w:val="single" w:sz="4" w:space="0" w:color="auto"/>
              <w:right w:val="single" w:sz="4" w:space="0" w:color="auto"/>
            </w:tcBorders>
            <w:vAlign w:val="center"/>
            <w:hideMark/>
          </w:tcPr>
          <w:p w14:paraId="1EC9A827" w14:textId="77777777" w:rsidR="005B2A50" w:rsidRPr="009A2CD6" w:rsidRDefault="005B2A50" w:rsidP="00411DA3">
            <w:pPr>
              <w:spacing w:line="252" w:lineRule="auto"/>
              <w:rPr>
                <w:color w:val="FF0000"/>
                <w:sz w:val="20"/>
                <w:szCs w:val="20"/>
              </w:rPr>
            </w:pPr>
            <w:r w:rsidRPr="009F321B">
              <w:rPr>
                <w:sz w:val="20"/>
                <w:szCs w:val="20"/>
              </w:rPr>
              <w:t>Economía y Turismo</w:t>
            </w:r>
          </w:p>
        </w:tc>
        <w:tc>
          <w:tcPr>
            <w:tcW w:w="1660" w:type="dxa"/>
            <w:tcBorders>
              <w:top w:val="nil"/>
              <w:left w:val="nil"/>
              <w:bottom w:val="single" w:sz="4" w:space="0" w:color="auto"/>
              <w:right w:val="single" w:sz="4" w:space="0" w:color="auto"/>
            </w:tcBorders>
            <w:noWrap/>
            <w:vAlign w:val="center"/>
            <w:hideMark/>
          </w:tcPr>
          <w:p w14:paraId="394498E4" w14:textId="77777777" w:rsidR="005B2A50" w:rsidRPr="009A2CD6" w:rsidRDefault="005B2A50" w:rsidP="00411DA3">
            <w:pPr>
              <w:jc w:val="right"/>
              <w:rPr>
                <w:color w:val="FF0000"/>
                <w:sz w:val="20"/>
                <w:szCs w:val="20"/>
              </w:rPr>
            </w:pPr>
            <w:r>
              <w:rPr>
                <w:color w:val="000000"/>
                <w:sz w:val="20"/>
                <w:szCs w:val="20"/>
              </w:rPr>
              <w:t>342,992,002.00</w:t>
            </w:r>
          </w:p>
        </w:tc>
        <w:tc>
          <w:tcPr>
            <w:tcW w:w="1660" w:type="dxa"/>
            <w:tcBorders>
              <w:top w:val="nil"/>
              <w:left w:val="nil"/>
              <w:bottom w:val="single" w:sz="4" w:space="0" w:color="auto"/>
              <w:right w:val="single" w:sz="4" w:space="0" w:color="auto"/>
            </w:tcBorders>
            <w:noWrap/>
            <w:vAlign w:val="center"/>
            <w:hideMark/>
          </w:tcPr>
          <w:p w14:paraId="17AA2990" w14:textId="77777777" w:rsidR="005B2A50" w:rsidRPr="009A2CD6" w:rsidRDefault="005B2A50" w:rsidP="00411DA3">
            <w:pPr>
              <w:jc w:val="right"/>
              <w:rPr>
                <w:color w:val="FF0000"/>
                <w:sz w:val="20"/>
                <w:szCs w:val="20"/>
              </w:rPr>
            </w:pPr>
            <w:r>
              <w:rPr>
                <w:color w:val="000000"/>
                <w:sz w:val="20"/>
                <w:szCs w:val="20"/>
              </w:rPr>
              <w:t>371,237,129.00</w:t>
            </w:r>
          </w:p>
        </w:tc>
        <w:tc>
          <w:tcPr>
            <w:tcW w:w="1770" w:type="dxa"/>
            <w:tcBorders>
              <w:top w:val="nil"/>
              <w:left w:val="nil"/>
              <w:bottom w:val="single" w:sz="4" w:space="0" w:color="auto"/>
              <w:right w:val="single" w:sz="4" w:space="0" w:color="auto"/>
            </w:tcBorders>
            <w:noWrap/>
            <w:vAlign w:val="center"/>
            <w:hideMark/>
          </w:tcPr>
          <w:p w14:paraId="76093EC5" w14:textId="77777777" w:rsidR="005B2A50" w:rsidRPr="009A2CD6" w:rsidRDefault="005B2A50" w:rsidP="00411DA3">
            <w:pPr>
              <w:jc w:val="right"/>
              <w:rPr>
                <w:color w:val="FF0000"/>
                <w:sz w:val="20"/>
                <w:szCs w:val="20"/>
              </w:rPr>
            </w:pPr>
            <w:r>
              <w:rPr>
                <w:color w:val="000000"/>
                <w:sz w:val="20"/>
                <w:szCs w:val="20"/>
              </w:rPr>
              <w:t>28,245,127.00</w:t>
            </w:r>
          </w:p>
        </w:tc>
        <w:tc>
          <w:tcPr>
            <w:tcW w:w="698" w:type="dxa"/>
            <w:tcBorders>
              <w:top w:val="nil"/>
              <w:left w:val="nil"/>
              <w:bottom w:val="single" w:sz="4" w:space="0" w:color="auto"/>
              <w:right w:val="single" w:sz="4" w:space="0" w:color="auto"/>
            </w:tcBorders>
            <w:noWrap/>
            <w:vAlign w:val="center"/>
            <w:hideMark/>
          </w:tcPr>
          <w:p w14:paraId="5BB9F404" w14:textId="77777777" w:rsidR="005B2A50" w:rsidRPr="009A2CD6" w:rsidRDefault="005B2A50" w:rsidP="00411DA3">
            <w:pPr>
              <w:jc w:val="center"/>
              <w:rPr>
                <w:color w:val="FF0000"/>
                <w:sz w:val="20"/>
                <w:szCs w:val="20"/>
              </w:rPr>
            </w:pPr>
            <w:r>
              <w:rPr>
                <w:color w:val="000000"/>
                <w:sz w:val="20"/>
                <w:szCs w:val="20"/>
              </w:rPr>
              <w:t>8.2</w:t>
            </w:r>
          </w:p>
        </w:tc>
      </w:tr>
      <w:tr w:rsidR="005B2A50" w:rsidRPr="00076395" w14:paraId="3D156641" w14:textId="77777777" w:rsidTr="00411DA3">
        <w:trPr>
          <w:trHeight w:val="300"/>
          <w:jc w:val="center"/>
        </w:trPr>
        <w:tc>
          <w:tcPr>
            <w:tcW w:w="1720" w:type="dxa"/>
            <w:tcBorders>
              <w:top w:val="nil"/>
              <w:left w:val="single" w:sz="4" w:space="0" w:color="auto"/>
              <w:bottom w:val="single" w:sz="4" w:space="0" w:color="auto"/>
              <w:right w:val="single" w:sz="4" w:space="0" w:color="auto"/>
            </w:tcBorders>
            <w:vAlign w:val="center"/>
            <w:hideMark/>
          </w:tcPr>
          <w:p w14:paraId="4967DBF3" w14:textId="77777777" w:rsidR="005B2A50" w:rsidRPr="009A2CD6" w:rsidRDefault="005B2A50" w:rsidP="00411DA3">
            <w:pPr>
              <w:spacing w:line="252" w:lineRule="auto"/>
              <w:rPr>
                <w:color w:val="FF0000"/>
                <w:sz w:val="20"/>
                <w:szCs w:val="20"/>
              </w:rPr>
            </w:pPr>
            <w:r w:rsidRPr="009F321B">
              <w:rPr>
                <w:sz w:val="20"/>
                <w:szCs w:val="20"/>
              </w:rPr>
              <w:t>Administración</w:t>
            </w:r>
          </w:p>
        </w:tc>
        <w:tc>
          <w:tcPr>
            <w:tcW w:w="1660" w:type="dxa"/>
            <w:tcBorders>
              <w:top w:val="nil"/>
              <w:left w:val="nil"/>
              <w:bottom w:val="single" w:sz="4" w:space="0" w:color="auto"/>
              <w:right w:val="single" w:sz="4" w:space="0" w:color="auto"/>
            </w:tcBorders>
            <w:noWrap/>
            <w:vAlign w:val="center"/>
            <w:hideMark/>
          </w:tcPr>
          <w:p w14:paraId="306DE1F4" w14:textId="77777777" w:rsidR="005B2A50" w:rsidRPr="009A2CD6" w:rsidRDefault="005B2A50" w:rsidP="00411DA3">
            <w:pPr>
              <w:jc w:val="right"/>
              <w:rPr>
                <w:color w:val="FF0000"/>
                <w:sz w:val="20"/>
                <w:szCs w:val="20"/>
              </w:rPr>
            </w:pPr>
            <w:r>
              <w:rPr>
                <w:color w:val="000000"/>
                <w:sz w:val="20"/>
                <w:szCs w:val="20"/>
              </w:rPr>
              <w:t>1,314,952,880.00</w:t>
            </w:r>
          </w:p>
        </w:tc>
        <w:tc>
          <w:tcPr>
            <w:tcW w:w="1660" w:type="dxa"/>
            <w:tcBorders>
              <w:top w:val="nil"/>
              <w:left w:val="nil"/>
              <w:bottom w:val="single" w:sz="4" w:space="0" w:color="auto"/>
              <w:right w:val="single" w:sz="4" w:space="0" w:color="auto"/>
            </w:tcBorders>
            <w:noWrap/>
            <w:vAlign w:val="center"/>
            <w:hideMark/>
          </w:tcPr>
          <w:p w14:paraId="02821DF8" w14:textId="77777777" w:rsidR="005B2A50" w:rsidRPr="009A2CD6" w:rsidRDefault="005B2A50" w:rsidP="00411DA3">
            <w:pPr>
              <w:jc w:val="right"/>
              <w:rPr>
                <w:color w:val="FF0000"/>
                <w:sz w:val="20"/>
                <w:szCs w:val="20"/>
              </w:rPr>
            </w:pPr>
            <w:r>
              <w:rPr>
                <w:color w:val="000000"/>
                <w:sz w:val="20"/>
                <w:szCs w:val="20"/>
              </w:rPr>
              <w:t>1,336,043,173.00</w:t>
            </w:r>
          </w:p>
        </w:tc>
        <w:tc>
          <w:tcPr>
            <w:tcW w:w="1770" w:type="dxa"/>
            <w:tcBorders>
              <w:top w:val="nil"/>
              <w:left w:val="nil"/>
              <w:bottom w:val="single" w:sz="4" w:space="0" w:color="auto"/>
              <w:right w:val="single" w:sz="4" w:space="0" w:color="auto"/>
            </w:tcBorders>
            <w:noWrap/>
            <w:vAlign w:val="center"/>
            <w:hideMark/>
          </w:tcPr>
          <w:p w14:paraId="54C45BC7" w14:textId="77777777" w:rsidR="005B2A50" w:rsidRPr="009A2CD6" w:rsidRDefault="005B2A50" w:rsidP="00411DA3">
            <w:pPr>
              <w:jc w:val="right"/>
              <w:rPr>
                <w:color w:val="FF0000"/>
                <w:sz w:val="20"/>
                <w:szCs w:val="20"/>
              </w:rPr>
            </w:pPr>
            <w:r>
              <w:rPr>
                <w:color w:val="000000"/>
                <w:sz w:val="20"/>
                <w:szCs w:val="20"/>
              </w:rPr>
              <w:t>21,090,293.00</w:t>
            </w:r>
          </w:p>
        </w:tc>
        <w:tc>
          <w:tcPr>
            <w:tcW w:w="698" w:type="dxa"/>
            <w:tcBorders>
              <w:top w:val="nil"/>
              <w:left w:val="nil"/>
              <w:bottom w:val="single" w:sz="4" w:space="0" w:color="auto"/>
              <w:right w:val="single" w:sz="4" w:space="0" w:color="auto"/>
            </w:tcBorders>
            <w:noWrap/>
            <w:vAlign w:val="center"/>
            <w:hideMark/>
          </w:tcPr>
          <w:p w14:paraId="0C01D357" w14:textId="77777777" w:rsidR="005B2A50" w:rsidRPr="009A2CD6" w:rsidRDefault="005B2A50" w:rsidP="00411DA3">
            <w:pPr>
              <w:jc w:val="center"/>
              <w:rPr>
                <w:color w:val="FF0000"/>
                <w:sz w:val="20"/>
                <w:szCs w:val="20"/>
              </w:rPr>
            </w:pPr>
            <w:r>
              <w:rPr>
                <w:color w:val="000000"/>
                <w:sz w:val="20"/>
                <w:szCs w:val="20"/>
              </w:rPr>
              <w:t>1.6</w:t>
            </w:r>
          </w:p>
        </w:tc>
      </w:tr>
      <w:tr w:rsidR="005B2A50" w:rsidRPr="00076395" w14:paraId="3716432F" w14:textId="77777777" w:rsidTr="00411DA3">
        <w:trPr>
          <w:trHeight w:val="300"/>
          <w:jc w:val="center"/>
        </w:trPr>
        <w:tc>
          <w:tcPr>
            <w:tcW w:w="1720" w:type="dxa"/>
            <w:tcBorders>
              <w:top w:val="nil"/>
              <w:left w:val="single" w:sz="4" w:space="0" w:color="auto"/>
              <w:bottom w:val="single" w:sz="4" w:space="0" w:color="auto"/>
              <w:right w:val="single" w:sz="4" w:space="0" w:color="auto"/>
            </w:tcBorders>
            <w:shd w:val="clear" w:color="auto" w:fill="D9D9D9"/>
            <w:noWrap/>
            <w:vAlign w:val="center"/>
            <w:hideMark/>
          </w:tcPr>
          <w:p w14:paraId="7900A78C" w14:textId="77777777" w:rsidR="005B2A50" w:rsidRPr="00076395" w:rsidRDefault="005B2A50" w:rsidP="00411DA3">
            <w:pPr>
              <w:spacing w:line="252" w:lineRule="auto"/>
              <w:rPr>
                <w:b/>
                <w:bCs/>
                <w:sz w:val="20"/>
                <w:szCs w:val="20"/>
              </w:rPr>
            </w:pPr>
            <w:r w:rsidRPr="00076395">
              <w:rPr>
                <w:b/>
                <w:bCs/>
                <w:sz w:val="20"/>
                <w:szCs w:val="20"/>
              </w:rPr>
              <w:t>TOTAL</w:t>
            </w:r>
          </w:p>
        </w:tc>
        <w:tc>
          <w:tcPr>
            <w:tcW w:w="1660" w:type="dxa"/>
            <w:tcBorders>
              <w:top w:val="nil"/>
              <w:left w:val="nil"/>
              <w:bottom w:val="single" w:sz="4" w:space="0" w:color="auto"/>
              <w:right w:val="single" w:sz="4" w:space="0" w:color="auto"/>
            </w:tcBorders>
            <w:shd w:val="clear" w:color="auto" w:fill="D9D9D9"/>
            <w:noWrap/>
            <w:vAlign w:val="center"/>
            <w:hideMark/>
          </w:tcPr>
          <w:p w14:paraId="2928A131" w14:textId="77777777" w:rsidR="005B2A50" w:rsidRDefault="005B2A50" w:rsidP="00411DA3">
            <w:pPr>
              <w:jc w:val="right"/>
              <w:rPr>
                <w:b/>
                <w:bCs/>
                <w:color w:val="000000"/>
                <w:sz w:val="20"/>
                <w:szCs w:val="20"/>
              </w:rPr>
            </w:pPr>
            <w:r>
              <w:rPr>
                <w:b/>
                <w:bCs/>
                <w:color w:val="000000"/>
                <w:sz w:val="20"/>
                <w:szCs w:val="20"/>
              </w:rPr>
              <w:t>21,018,806,286.00</w:t>
            </w:r>
          </w:p>
        </w:tc>
        <w:tc>
          <w:tcPr>
            <w:tcW w:w="1660" w:type="dxa"/>
            <w:tcBorders>
              <w:top w:val="nil"/>
              <w:left w:val="nil"/>
              <w:bottom w:val="single" w:sz="4" w:space="0" w:color="auto"/>
              <w:right w:val="single" w:sz="4" w:space="0" w:color="auto"/>
            </w:tcBorders>
            <w:shd w:val="clear" w:color="auto" w:fill="D9D9D9"/>
            <w:noWrap/>
            <w:vAlign w:val="center"/>
            <w:hideMark/>
          </w:tcPr>
          <w:p w14:paraId="16BCAE0B" w14:textId="77777777" w:rsidR="005B2A50" w:rsidRDefault="005B2A50" w:rsidP="00411DA3">
            <w:pPr>
              <w:jc w:val="right"/>
              <w:rPr>
                <w:b/>
                <w:bCs/>
                <w:color w:val="000000"/>
                <w:sz w:val="20"/>
                <w:szCs w:val="20"/>
              </w:rPr>
            </w:pPr>
            <w:r>
              <w:rPr>
                <w:b/>
                <w:bCs/>
                <w:color w:val="000000"/>
                <w:sz w:val="20"/>
                <w:szCs w:val="20"/>
              </w:rPr>
              <w:t>21,685,573,946.00</w:t>
            </w:r>
          </w:p>
        </w:tc>
        <w:tc>
          <w:tcPr>
            <w:tcW w:w="1770" w:type="dxa"/>
            <w:tcBorders>
              <w:top w:val="nil"/>
              <w:left w:val="nil"/>
              <w:bottom w:val="single" w:sz="4" w:space="0" w:color="auto"/>
              <w:right w:val="single" w:sz="4" w:space="0" w:color="auto"/>
            </w:tcBorders>
            <w:shd w:val="clear" w:color="auto" w:fill="D9D9D9"/>
            <w:noWrap/>
            <w:vAlign w:val="center"/>
            <w:hideMark/>
          </w:tcPr>
          <w:p w14:paraId="5F6D9C48" w14:textId="77777777" w:rsidR="005B2A50" w:rsidRDefault="005B2A50" w:rsidP="00411DA3">
            <w:pPr>
              <w:jc w:val="right"/>
              <w:rPr>
                <w:b/>
                <w:bCs/>
                <w:color w:val="000000"/>
                <w:sz w:val="20"/>
                <w:szCs w:val="20"/>
              </w:rPr>
            </w:pPr>
            <w:r>
              <w:rPr>
                <w:b/>
                <w:bCs/>
                <w:color w:val="000000"/>
                <w:sz w:val="20"/>
                <w:szCs w:val="20"/>
              </w:rPr>
              <w:t>666,767,660.00</w:t>
            </w:r>
          </w:p>
        </w:tc>
        <w:tc>
          <w:tcPr>
            <w:tcW w:w="698" w:type="dxa"/>
            <w:tcBorders>
              <w:top w:val="nil"/>
              <w:left w:val="nil"/>
              <w:bottom w:val="single" w:sz="4" w:space="0" w:color="auto"/>
              <w:right w:val="single" w:sz="4" w:space="0" w:color="auto"/>
            </w:tcBorders>
            <w:shd w:val="clear" w:color="auto" w:fill="D9D9D9"/>
            <w:noWrap/>
            <w:vAlign w:val="center"/>
            <w:hideMark/>
          </w:tcPr>
          <w:p w14:paraId="0B117085" w14:textId="77777777" w:rsidR="005B2A50" w:rsidRDefault="005B2A50" w:rsidP="00411DA3">
            <w:pPr>
              <w:jc w:val="center"/>
              <w:rPr>
                <w:b/>
                <w:bCs/>
                <w:color w:val="000000"/>
                <w:sz w:val="20"/>
                <w:szCs w:val="20"/>
              </w:rPr>
            </w:pPr>
            <w:r>
              <w:rPr>
                <w:b/>
                <w:bCs/>
                <w:color w:val="000000"/>
                <w:sz w:val="20"/>
                <w:szCs w:val="20"/>
              </w:rPr>
              <w:t>7.8</w:t>
            </w:r>
          </w:p>
        </w:tc>
      </w:tr>
    </w:tbl>
    <w:p w14:paraId="6C1C23A2" w14:textId="77777777" w:rsidR="005B2A50" w:rsidRDefault="005B2A50" w:rsidP="005B2A50">
      <w:pPr>
        <w:spacing w:after="200" w:line="360" w:lineRule="auto"/>
        <w:jc w:val="center"/>
        <w:rPr>
          <w:rFonts w:eastAsia="Calibri"/>
          <w:b/>
          <w:sz w:val="20"/>
          <w:szCs w:val="20"/>
        </w:rPr>
      </w:pPr>
    </w:p>
    <w:p w14:paraId="0E8FFB96" w14:textId="274DB3B0" w:rsidR="005B2A50" w:rsidRDefault="005B2A50" w:rsidP="005B2A50">
      <w:pPr>
        <w:spacing w:after="200" w:line="360" w:lineRule="auto"/>
        <w:jc w:val="both"/>
        <w:rPr>
          <w:rFonts w:eastAsia="Calibri"/>
          <w:sz w:val="20"/>
          <w:szCs w:val="20"/>
        </w:rPr>
      </w:pPr>
      <w:r w:rsidRPr="000C12DF">
        <w:rPr>
          <w:rFonts w:eastAsia="Calibri"/>
          <w:sz w:val="20"/>
          <w:szCs w:val="20"/>
        </w:rPr>
        <w:t xml:space="preserve">Como se puede observar en el cuadro anterior, el mayor incremento nominal está destinado a Educación, con un total de presupuesto de $10,742,821,879.00, el cual incluye presupuesto destinado para continuar con los Centros de Bachillerato Estatal; así mismo, se realizara un Tour </w:t>
      </w:r>
      <w:r w:rsidR="00683E2E">
        <w:rPr>
          <w:rFonts w:eastAsia="Calibri"/>
          <w:sz w:val="20"/>
          <w:szCs w:val="20"/>
        </w:rPr>
        <w:t xml:space="preserve">de </w:t>
      </w:r>
      <w:r w:rsidRPr="000C12DF">
        <w:rPr>
          <w:rFonts w:eastAsia="Calibri"/>
          <w:sz w:val="20"/>
          <w:szCs w:val="20"/>
        </w:rPr>
        <w:t>France y el Atletismo Iberoamericano</w:t>
      </w:r>
      <w:r>
        <w:rPr>
          <w:rFonts w:eastAsia="Calibri"/>
          <w:sz w:val="20"/>
          <w:szCs w:val="20"/>
        </w:rPr>
        <w:t>; seguido de</w:t>
      </w:r>
      <w:r w:rsidRPr="000C12DF">
        <w:rPr>
          <w:rFonts w:eastAsia="Calibri"/>
          <w:sz w:val="20"/>
          <w:szCs w:val="20"/>
        </w:rPr>
        <w:t xml:space="preserve">l Gasto Social que se integra por acciones destinadas a Infraestructura; Siniestros Agroclimáticos, Impulso a la Agroindustria y la Competitividad, Especies </w:t>
      </w:r>
      <w:r w:rsidRPr="000C12DF">
        <w:rPr>
          <w:rFonts w:eastAsia="Calibri"/>
          <w:sz w:val="20"/>
          <w:szCs w:val="20"/>
        </w:rPr>
        <w:lastRenderedPageBreak/>
        <w:t xml:space="preserve">Menores y Acuacultura; Equipamiento de la Clínica del Bienestar Animal; proyectos destinados para la mujer; ampliación al albergue para la niñez migrante Acompañada y No Acompañada; con la finalidad de generar un tejido social entre la ciudadanía tlaxcalteca y reducir las brechas de desigualdad, la Secretaría de Bienestar continúa con </w:t>
      </w:r>
      <w:r>
        <w:rPr>
          <w:rFonts w:eastAsia="Calibri"/>
          <w:sz w:val="20"/>
          <w:szCs w:val="20"/>
        </w:rPr>
        <w:t xml:space="preserve">acciones </w:t>
      </w:r>
      <w:r w:rsidRPr="00320396">
        <w:rPr>
          <w:rFonts w:eastAsia="Calibri"/>
          <w:sz w:val="20"/>
          <w:szCs w:val="20"/>
        </w:rPr>
        <w:t xml:space="preserve">de pensión para el bienestar a personas con discapacidad permanente, de ayudas funcionales a personas con discapacidad, de acceso a la seguridad alimentaria en zonas urbanas para personas en situación de pobreza en el Estado de Tlaxcala, apoyos económicos a mujeres víctimas de violencia en el Estado de Tlaxcala; posteriormente continua Salud el cual comprende acciones </w:t>
      </w:r>
      <w:r w:rsidRPr="008A730C">
        <w:rPr>
          <w:rFonts w:eastAsia="Calibri"/>
          <w:sz w:val="20"/>
          <w:szCs w:val="20"/>
        </w:rPr>
        <w:t xml:space="preserve">garantizar una vida sana promoviendo el bienestar para los Tlaxcaltecas, así como sistema estratégico de salud para el bienestar y de salud pública, fortalecimiento a la capacidad rectora en el sistema de salud para el bienestar, y acciones regulatorias para disminuir riesgos sanitarios;  </w:t>
      </w:r>
      <w:r w:rsidRPr="000C12DF">
        <w:rPr>
          <w:rFonts w:eastAsia="Calibri"/>
          <w:sz w:val="20"/>
          <w:szCs w:val="20"/>
        </w:rPr>
        <w:t>por mencionar algunas en el Sector</w:t>
      </w:r>
      <w:r>
        <w:rPr>
          <w:rFonts w:eastAsia="Calibri"/>
          <w:sz w:val="20"/>
          <w:szCs w:val="20"/>
        </w:rPr>
        <w:t>.</w:t>
      </w:r>
    </w:p>
    <w:p w14:paraId="44B3552D" w14:textId="599C7E41" w:rsidR="005B2A50" w:rsidRDefault="005B2A50" w:rsidP="005B2A50">
      <w:pPr>
        <w:spacing w:after="200" w:line="360" w:lineRule="auto"/>
        <w:jc w:val="both"/>
        <w:rPr>
          <w:rFonts w:eastAsia="Calibri"/>
          <w:b/>
          <w:color w:val="FF0000"/>
          <w:sz w:val="20"/>
          <w:szCs w:val="20"/>
        </w:rPr>
      </w:pPr>
      <w:r w:rsidRPr="004A4DCA">
        <w:rPr>
          <w:rFonts w:eastAsia="Calibri"/>
          <w:sz w:val="20"/>
          <w:szCs w:val="20"/>
        </w:rPr>
        <w:t>En el Sector Gobierno y Seguridad, se continúa con la creación de Centros de Comando para los Municipios</w:t>
      </w:r>
      <w:r w:rsidRPr="004A4DCA">
        <w:rPr>
          <w:rFonts w:eastAsia="Calibri"/>
          <w:bCs/>
          <w:sz w:val="20"/>
          <w:szCs w:val="20"/>
        </w:rPr>
        <w:t>, Sistema de Administración y Control Policial, Video Vigilancia "Arco Norte",</w:t>
      </w:r>
      <w:r w:rsidRPr="004A4DCA">
        <w:t xml:space="preserve"> </w:t>
      </w:r>
      <w:r w:rsidRPr="004A4DCA">
        <w:rPr>
          <w:rFonts w:eastAsia="Calibri"/>
          <w:bCs/>
          <w:sz w:val="20"/>
          <w:szCs w:val="20"/>
        </w:rPr>
        <w:t>Botón de Pánico Conductores de Plataforma, Software de Reconocimiento SIDI "Redes Sociales", Capacitación "</w:t>
      </w:r>
      <w:proofErr w:type="spellStart"/>
      <w:r w:rsidRPr="004A4DCA">
        <w:rPr>
          <w:rFonts w:eastAsia="Calibri"/>
          <w:bCs/>
          <w:sz w:val="20"/>
          <w:szCs w:val="20"/>
        </w:rPr>
        <w:t>National</w:t>
      </w:r>
      <w:proofErr w:type="spellEnd"/>
      <w:r w:rsidRPr="004A4DCA">
        <w:rPr>
          <w:rFonts w:eastAsia="Calibri"/>
          <w:bCs/>
          <w:sz w:val="20"/>
          <w:szCs w:val="20"/>
        </w:rPr>
        <w:t xml:space="preserve"> </w:t>
      </w:r>
      <w:proofErr w:type="spellStart"/>
      <w:r w:rsidRPr="004A4DCA">
        <w:rPr>
          <w:rFonts w:eastAsia="Calibri"/>
          <w:bCs/>
          <w:sz w:val="20"/>
          <w:szCs w:val="20"/>
        </w:rPr>
        <w:t>Emergency</w:t>
      </w:r>
      <w:proofErr w:type="spellEnd"/>
      <w:r w:rsidRPr="004A4DCA">
        <w:rPr>
          <w:rFonts w:eastAsia="Calibri"/>
          <w:bCs/>
          <w:sz w:val="20"/>
          <w:szCs w:val="20"/>
        </w:rPr>
        <w:t xml:space="preserve"> </w:t>
      </w:r>
      <w:proofErr w:type="spellStart"/>
      <w:r w:rsidRPr="004A4DCA">
        <w:rPr>
          <w:rFonts w:eastAsia="Calibri"/>
          <w:bCs/>
          <w:sz w:val="20"/>
          <w:szCs w:val="20"/>
        </w:rPr>
        <w:t>Number</w:t>
      </w:r>
      <w:proofErr w:type="spellEnd"/>
      <w:r w:rsidRPr="004A4DCA">
        <w:rPr>
          <w:rFonts w:eastAsia="Calibri"/>
          <w:bCs/>
          <w:sz w:val="20"/>
          <w:szCs w:val="20"/>
        </w:rPr>
        <w:t xml:space="preserve"> </w:t>
      </w:r>
      <w:proofErr w:type="spellStart"/>
      <w:r w:rsidRPr="004A4DCA">
        <w:rPr>
          <w:rFonts w:eastAsia="Calibri"/>
          <w:bCs/>
          <w:sz w:val="20"/>
          <w:szCs w:val="20"/>
        </w:rPr>
        <w:t>Association</w:t>
      </w:r>
      <w:proofErr w:type="spellEnd"/>
      <w:r w:rsidRPr="004A4DCA">
        <w:rPr>
          <w:rFonts w:eastAsia="Calibri"/>
          <w:bCs/>
          <w:sz w:val="20"/>
          <w:szCs w:val="20"/>
        </w:rPr>
        <w:t>" (N</w:t>
      </w:r>
      <w:r w:rsidR="00683E2E">
        <w:rPr>
          <w:rFonts w:eastAsia="Calibri"/>
          <w:bCs/>
          <w:sz w:val="20"/>
          <w:szCs w:val="20"/>
        </w:rPr>
        <w:t>ENA</w:t>
      </w:r>
      <w:r w:rsidRPr="004A4DCA">
        <w:rPr>
          <w:rFonts w:eastAsia="Calibri"/>
          <w:bCs/>
          <w:sz w:val="20"/>
          <w:szCs w:val="20"/>
        </w:rPr>
        <w:t xml:space="preserve">), Mantenimiento a Software de Analíticos Forenses </w:t>
      </w:r>
      <w:proofErr w:type="spellStart"/>
      <w:proofErr w:type="gramStart"/>
      <w:r w:rsidRPr="004A4DCA">
        <w:rPr>
          <w:rFonts w:eastAsia="Calibri"/>
          <w:bCs/>
          <w:sz w:val="20"/>
          <w:szCs w:val="20"/>
        </w:rPr>
        <w:t>Carbyne</w:t>
      </w:r>
      <w:proofErr w:type="spellEnd"/>
      <w:r w:rsidRPr="004A4DCA">
        <w:rPr>
          <w:rFonts w:eastAsia="Calibri"/>
          <w:bCs/>
          <w:sz w:val="20"/>
          <w:szCs w:val="20"/>
        </w:rPr>
        <w:t xml:space="preserve"> ,</w:t>
      </w:r>
      <w:proofErr w:type="gramEnd"/>
      <w:r w:rsidRPr="004A4DCA">
        <w:rPr>
          <w:rFonts w:eastAsia="Calibri"/>
          <w:bCs/>
          <w:sz w:val="20"/>
          <w:szCs w:val="20"/>
        </w:rPr>
        <w:t xml:space="preserve"> Proyecto Piloto "Punto Naranja" Mujer Segura</w:t>
      </w:r>
      <w:r>
        <w:rPr>
          <w:rFonts w:eastAsia="Calibri"/>
          <w:bCs/>
          <w:sz w:val="20"/>
          <w:szCs w:val="20"/>
        </w:rPr>
        <w:t>.</w:t>
      </w:r>
    </w:p>
    <w:p w14:paraId="2ED77538" w14:textId="77777777" w:rsidR="005B2A50" w:rsidRDefault="005B2A50" w:rsidP="005B2A50">
      <w:pPr>
        <w:spacing w:after="200" w:line="360" w:lineRule="auto"/>
        <w:jc w:val="center"/>
        <w:rPr>
          <w:rFonts w:eastAsia="Calibri"/>
          <w:b/>
          <w:sz w:val="20"/>
          <w:szCs w:val="20"/>
        </w:rPr>
      </w:pPr>
      <w:r>
        <w:rPr>
          <w:rFonts w:eastAsia="Calibri"/>
          <w:b/>
          <w:sz w:val="20"/>
          <w:szCs w:val="20"/>
        </w:rPr>
        <w:t>PODERES Y ÓRGANOS AUTÓNOMOS</w:t>
      </w:r>
    </w:p>
    <w:tbl>
      <w:tblPr>
        <w:tblW w:w="7928" w:type="dxa"/>
        <w:jc w:val="center"/>
        <w:tblCellMar>
          <w:left w:w="70" w:type="dxa"/>
          <w:right w:w="70" w:type="dxa"/>
        </w:tblCellMar>
        <w:tblLook w:val="04A0" w:firstRow="1" w:lastRow="0" w:firstColumn="1" w:lastColumn="0" w:noHBand="0" w:noVBand="1"/>
      </w:tblPr>
      <w:tblGrid>
        <w:gridCol w:w="2696"/>
        <w:gridCol w:w="1540"/>
        <w:gridCol w:w="1830"/>
        <w:gridCol w:w="1862"/>
      </w:tblGrid>
      <w:tr w:rsidR="005B2A50" w14:paraId="06895239" w14:textId="77777777" w:rsidTr="005B2A50">
        <w:trPr>
          <w:trHeight w:val="960"/>
          <w:tblHeader/>
          <w:jc w:val="center"/>
        </w:trPr>
        <w:tc>
          <w:tcPr>
            <w:tcW w:w="2696" w:type="dxa"/>
            <w:tcBorders>
              <w:top w:val="single" w:sz="8" w:space="0" w:color="A6A6A6"/>
              <w:left w:val="single" w:sz="8" w:space="0" w:color="A6A6A6"/>
              <w:bottom w:val="nil"/>
              <w:right w:val="single" w:sz="8" w:space="0" w:color="A6A6A6"/>
            </w:tcBorders>
            <w:shd w:val="clear" w:color="auto" w:fill="CCCCCC"/>
            <w:vAlign w:val="center"/>
            <w:hideMark/>
          </w:tcPr>
          <w:p w14:paraId="1AB89EF7" w14:textId="77777777" w:rsidR="005B2A50" w:rsidRDefault="005B2A50" w:rsidP="00411DA3">
            <w:pPr>
              <w:spacing w:line="360" w:lineRule="auto"/>
              <w:jc w:val="center"/>
              <w:rPr>
                <w:b/>
                <w:bCs/>
                <w:color w:val="000000"/>
                <w:sz w:val="20"/>
                <w:szCs w:val="20"/>
                <w:lang w:val="es-MX" w:eastAsia="es-MX"/>
              </w:rPr>
            </w:pPr>
            <w:r>
              <w:rPr>
                <w:b/>
                <w:bCs/>
                <w:color w:val="000000"/>
                <w:sz w:val="20"/>
                <w:szCs w:val="20"/>
              </w:rPr>
              <w:t>PODERES Y ÓRGANOS AUTÓNOMOS</w:t>
            </w:r>
          </w:p>
        </w:tc>
        <w:tc>
          <w:tcPr>
            <w:tcW w:w="1540" w:type="dxa"/>
            <w:tcBorders>
              <w:top w:val="single" w:sz="8" w:space="0" w:color="A6A6A6"/>
              <w:left w:val="nil"/>
              <w:bottom w:val="nil"/>
              <w:right w:val="single" w:sz="8" w:space="0" w:color="A6A6A6"/>
            </w:tcBorders>
            <w:shd w:val="clear" w:color="auto" w:fill="CCCCCC"/>
            <w:vAlign w:val="center"/>
            <w:hideMark/>
          </w:tcPr>
          <w:p w14:paraId="37B7375B" w14:textId="77777777" w:rsidR="005B2A50" w:rsidRDefault="005B2A50" w:rsidP="00411DA3">
            <w:pPr>
              <w:spacing w:line="360" w:lineRule="auto"/>
              <w:jc w:val="center"/>
              <w:rPr>
                <w:b/>
                <w:bCs/>
                <w:color w:val="000000"/>
                <w:sz w:val="20"/>
                <w:szCs w:val="20"/>
              </w:rPr>
            </w:pPr>
            <w:r>
              <w:rPr>
                <w:b/>
                <w:bCs/>
                <w:color w:val="000000"/>
                <w:sz w:val="20"/>
                <w:szCs w:val="20"/>
              </w:rPr>
              <w:t>AUTORIZADO  2024</w:t>
            </w:r>
          </w:p>
          <w:p w14:paraId="0AD37ECB" w14:textId="77777777" w:rsidR="005B2A50" w:rsidRDefault="005B2A50" w:rsidP="00411DA3">
            <w:pPr>
              <w:spacing w:line="360" w:lineRule="auto"/>
              <w:jc w:val="center"/>
              <w:rPr>
                <w:b/>
                <w:bCs/>
                <w:color w:val="000000"/>
                <w:sz w:val="20"/>
                <w:szCs w:val="20"/>
              </w:rPr>
            </w:pPr>
            <w:r>
              <w:rPr>
                <w:b/>
                <w:bCs/>
                <w:color w:val="000000"/>
                <w:sz w:val="20"/>
                <w:szCs w:val="20"/>
              </w:rPr>
              <w:t>($)</w:t>
            </w:r>
          </w:p>
        </w:tc>
        <w:tc>
          <w:tcPr>
            <w:tcW w:w="1830" w:type="dxa"/>
            <w:tcBorders>
              <w:top w:val="single" w:sz="8" w:space="0" w:color="A6A6A6"/>
              <w:left w:val="nil"/>
              <w:bottom w:val="nil"/>
              <w:right w:val="single" w:sz="8" w:space="0" w:color="A6A6A6"/>
            </w:tcBorders>
            <w:shd w:val="clear" w:color="auto" w:fill="CCCCCC"/>
            <w:vAlign w:val="center"/>
            <w:hideMark/>
          </w:tcPr>
          <w:p w14:paraId="6EB3F853" w14:textId="77777777" w:rsidR="005B2A50" w:rsidRDefault="005B2A50" w:rsidP="00411DA3">
            <w:pPr>
              <w:spacing w:line="360" w:lineRule="auto"/>
              <w:jc w:val="center"/>
              <w:rPr>
                <w:b/>
                <w:bCs/>
                <w:color w:val="000000"/>
                <w:sz w:val="20"/>
                <w:szCs w:val="20"/>
              </w:rPr>
            </w:pPr>
            <w:r>
              <w:rPr>
                <w:b/>
                <w:bCs/>
                <w:color w:val="000000"/>
                <w:sz w:val="20"/>
                <w:szCs w:val="20"/>
              </w:rPr>
              <w:t>ANTEPROYECTO 2025</w:t>
            </w:r>
          </w:p>
          <w:p w14:paraId="094A8C68" w14:textId="77777777" w:rsidR="005B2A50" w:rsidRDefault="005B2A50" w:rsidP="00411DA3">
            <w:pPr>
              <w:spacing w:line="360" w:lineRule="auto"/>
              <w:jc w:val="center"/>
              <w:rPr>
                <w:b/>
                <w:bCs/>
                <w:color w:val="000000"/>
                <w:sz w:val="20"/>
                <w:szCs w:val="20"/>
              </w:rPr>
            </w:pPr>
            <w:r>
              <w:rPr>
                <w:b/>
                <w:bCs/>
                <w:color w:val="000000"/>
                <w:sz w:val="20"/>
                <w:szCs w:val="20"/>
              </w:rPr>
              <w:t>($)</w:t>
            </w:r>
          </w:p>
        </w:tc>
        <w:tc>
          <w:tcPr>
            <w:tcW w:w="1862" w:type="dxa"/>
            <w:tcBorders>
              <w:top w:val="single" w:sz="8" w:space="0" w:color="A6A6A6"/>
              <w:left w:val="nil"/>
              <w:bottom w:val="nil"/>
              <w:right w:val="single" w:sz="8" w:space="0" w:color="A6A6A6"/>
            </w:tcBorders>
            <w:shd w:val="clear" w:color="auto" w:fill="CCCCCC"/>
            <w:vAlign w:val="center"/>
            <w:hideMark/>
          </w:tcPr>
          <w:p w14:paraId="0BF915D3" w14:textId="77777777" w:rsidR="005B2A50" w:rsidRDefault="005B2A50" w:rsidP="00411DA3">
            <w:pPr>
              <w:spacing w:line="360" w:lineRule="auto"/>
              <w:jc w:val="center"/>
              <w:rPr>
                <w:b/>
                <w:bCs/>
                <w:color w:val="000000"/>
                <w:sz w:val="20"/>
                <w:szCs w:val="20"/>
              </w:rPr>
            </w:pPr>
            <w:r>
              <w:rPr>
                <w:b/>
                <w:bCs/>
                <w:color w:val="000000"/>
                <w:sz w:val="20"/>
                <w:szCs w:val="20"/>
              </w:rPr>
              <w:t>INICIATIVA FINAL PROPUESTA 2025</w:t>
            </w:r>
          </w:p>
          <w:p w14:paraId="6DC70149" w14:textId="77777777" w:rsidR="005B2A50" w:rsidRDefault="005B2A50" w:rsidP="00411DA3">
            <w:pPr>
              <w:spacing w:line="360" w:lineRule="auto"/>
              <w:jc w:val="center"/>
              <w:rPr>
                <w:b/>
                <w:bCs/>
                <w:color w:val="000000"/>
                <w:sz w:val="20"/>
                <w:szCs w:val="20"/>
              </w:rPr>
            </w:pPr>
            <w:r>
              <w:rPr>
                <w:b/>
                <w:bCs/>
                <w:color w:val="000000"/>
                <w:sz w:val="20"/>
                <w:szCs w:val="20"/>
              </w:rPr>
              <w:t>($)</w:t>
            </w:r>
          </w:p>
        </w:tc>
      </w:tr>
      <w:tr w:rsidR="005B2A50" w14:paraId="0AE34B08" w14:textId="77777777" w:rsidTr="005B2A50">
        <w:trPr>
          <w:trHeight w:val="315"/>
          <w:jc w:val="center"/>
        </w:trPr>
        <w:tc>
          <w:tcPr>
            <w:tcW w:w="2696" w:type="dxa"/>
            <w:tcBorders>
              <w:top w:val="single" w:sz="8" w:space="0" w:color="A6A6A6"/>
              <w:left w:val="single" w:sz="8" w:space="0" w:color="A6A6A6"/>
              <w:bottom w:val="single" w:sz="8" w:space="0" w:color="A6A6A6"/>
              <w:right w:val="single" w:sz="8" w:space="0" w:color="A6A6A6"/>
            </w:tcBorders>
            <w:vAlign w:val="center"/>
            <w:hideMark/>
          </w:tcPr>
          <w:p w14:paraId="5D23FC31" w14:textId="77777777" w:rsidR="005B2A50" w:rsidRDefault="005B2A50" w:rsidP="00411DA3">
            <w:pPr>
              <w:spacing w:line="360" w:lineRule="auto"/>
              <w:jc w:val="both"/>
              <w:rPr>
                <w:color w:val="000000"/>
                <w:sz w:val="20"/>
                <w:szCs w:val="20"/>
              </w:rPr>
            </w:pPr>
            <w:r>
              <w:rPr>
                <w:color w:val="000000"/>
                <w:sz w:val="20"/>
                <w:szCs w:val="20"/>
              </w:rPr>
              <w:t>Poder Legislativo</w:t>
            </w:r>
          </w:p>
        </w:tc>
        <w:tc>
          <w:tcPr>
            <w:tcW w:w="1540" w:type="dxa"/>
            <w:tcBorders>
              <w:top w:val="single" w:sz="8" w:space="0" w:color="A6A6A6"/>
              <w:left w:val="nil"/>
              <w:bottom w:val="single" w:sz="8" w:space="0" w:color="A6A6A6"/>
              <w:right w:val="single" w:sz="8" w:space="0" w:color="A6A6A6"/>
            </w:tcBorders>
            <w:vAlign w:val="center"/>
            <w:hideMark/>
          </w:tcPr>
          <w:p w14:paraId="488ED970" w14:textId="77777777" w:rsidR="005B2A50" w:rsidRDefault="005B2A50" w:rsidP="00411DA3">
            <w:pPr>
              <w:spacing w:line="254" w:lineRule="auto"/>
              <w:jc w:val="right"/>
              <w:rPr>
                <w:color w:val="000000"/>
                <w:sz w:val="20"/>
                <w:szCs w:val="20"/>
                <w:lang w:val="es-MX" w:eastAsia="es-MX"/>
              </w:rPr>
            </w:pPr>
            <w:r>
              <w:rPr>
                <w:color w:val="000000"/>
                <w:sz w:val="20"/>
                <w:szCs w:val="20"/>
              </w:rPr>
              <w:t>446,020,427.00</w:t>
            </w:r>
          </w:p>
        </w:tc>
        <w:tc>
          <w:tcPr>
            <w:tcW w:w="1830" w:type="dxa"/>
            <w:tcBorders>
              <w:top w:val="single" w:sz="8" w:space="0" w:color="A6A6A6"/>
              <w:left w:val="nil"/>
              <w:bottom w:val="single" w:sz="8" w:space="0" w:color="A6A6A6"/>
              <w:right w:val="single" w:sz="8" w:space="0" w:color="A6A6A6"/>
            </w:tcBorders>
            <w:vAlign w:val="center"/>
            <w:hideMark/>
          </w:tcPr>
          <w:p w14:paraId="2B387E46" w14:textId="77777777" w:rsidR="005B2A50" w:rsidRDefault="005B2A50" w:rsidP="00411DA3">
            <w:pPr>
              <w:spacing w:line="254" w:lineRule="auto"/>
              <w:jc w:val="right"/>
              <w:rPr>
                <w:color w:val="000000"/>
                <w:sz w:val="20"/>
                <w:szCs w:val="20"/>
              </w:rPr>
            </w:pPr>
            <w:r>
              <w:rPr>
                <w:color w:val="000000"/>
                <w:sz w:val="20"/>
                <w:szCs w:val="20"/>
              </w:rPr>
              <w:t>474,419,942.00</w:t>
            </w:r>
          </w:p>
        </w:tc>
        <w:tc>
          <w:tcPr>
            <w:tcW w:w="1862" w:type="dxa"/>
            <w:tcBorders>
              <w:top w:val="single" w:sz="8" w:space="0" w:color="A6A6A6"/>
              <w:left w:val="nil"/>
              <w:bottom w:val="single" w:sz="8" w:space="0" w:color="A6A6A6"/>
              <w:right w:val="single" w:sz="8" w:space="0" w:color="A6A6A6"/>
            </w:tcBorders>
            <w:vAlign w:val="center"/>
            <w:hideMark/>
          </w:tcPr>
          <w:p w14:paraId="3150FC14" w14:textId="77777777" w:rsidR="005B2A50" w:rsidRDefault="005B2A50" w:rsidP="00411DA3">
            <w:pPr>
              <w:spacing w:line="254" w:lineRule="auto"/>
              <w:jc w:val="right"/>
              <w:rPr>
                <w:color w:val="000000"/>
                <w:sz w:val="20"/>
                <w:szCs w:val="20"/>
              </w:rPr>
            </w:pPr>
            <w:r>
              <w:rPr>
                <w:color w:val="000000"/>
                <w:sz w:val="20"/>
                <w:szCs w:val="20"/>
              </w:rPr>
              <w:t>474,419,942.00</w:t>
            </w:r>
          </w:p>
        </w:tc>
      </w:tr>
      <w:tr w:rsidR="005B2A50" w14:paraId="18776F90" w14:textId="77777777" w:rsidTr="005B2A50">
        <w:trPr>
          <w:trHeight w:val="315"/>
          <w:jc w:val="center"/>
        </w:trPr>
        <w:tc>
          <w:tcPr>
            <w:tcW w:w="2696" w:type="dxa"/>
            <w:tcBorders>
              <w:top w:val="nil"/>
              <w:left w:val="single" w:sz="8" w:space="0" w:color="A6A6A6"/>
              <w:bottom w:val="single" w:sz="8" w:space="0" w:color="A6A6A6"/>
              <w:right w:val="single" w:sz="8" w:space="0" w:color="A6A6A6"/>
            </w:tcBorders>
            <w:vAlign w:val="center"/>
            <w:hideMark/>
          </w:tcPr>
          <w:p w14:paraId="4CC23B7C" w14:textId="77777777" w:rsidR="005B2A50" w:rsidRDefault="005B2A50" w:rsidP="00411DA3">
            <w:pPr>
              <w:spacing w:line="360" w:lineRule="auto"/>
              <w:jc w:val="both"/>
              <w:rPr>
                <w:color w:val="000000"/>
                <w:sz w:val="20"/>
                <w:szCs w:val="20"/>
              </w:rPr>
            </w:pPr>
            <w:r>
              <w:rPr>
                <w:color w:val="000000"/>
                <w:sz w:val="20"/>
                <w:szCs w:val="20"/>
              </w:rPr>
              <w:t>Poder Judicial</w:t>
            </w:r>
          </w:p>
        </w:tc>
        <w:tc>
          <w:tcPr>
            <w:tcW w:w="1540" w:type="dxa"/>
            <w:tcBorders>
              <w:top w:val="nil"/>
              <w:left w:val="nil"/>
              <w:bottom w:val="single" w:sz="8" w:space="0" w:color="A6A6A6"/>
              <w:right w:val="single" w:sz="8" w:space="0" w:color="A6A6A6"/>
            </w:tcBorders>
            <w:vAlign w:val="center"/>
            <w:hideMark/>
          </w:tcPr>
          <w:p w14:paraId="5270EC1F" w14:textId="77777777" w:rsidR="005B2A50" w:rsidRDefault="005B2A50" w:rsidP="00411DA3">
            <w:pPr>
              <w:spacing w:line="254" w:lineRule="auto"/>
              <w:jc w:val="right"/>
              <w:rPr>
                <w:color w:val="000000"/>
                <w:sz w:val="20"/>
                <w:szCs w:val="20"/>
              </w:rPr>
            </w:pPr>
            <w:r>
              <w:rPr>
                <w:color w:val="000000"/>
                <w:sz w:val="20"/>
                <w:szCs w:val="20"/>
              </w:rPr>
              <w:t>482,152,720.00</w:t>
            </w:r>
          </w:p>
        </w:tc>
        <w:tc>
          <w:tcPr>
            <w:tcW w:w="1830" w:type="dxa"/>
            <w:tcBorders>
              <w:top w:val="nil"/>
              <w:left w:val="nil"/>
              <w:bottom w:val="single" w:sz="8" w:space="0" w:color="A6A6A6"/>
              <w:right w:val="single" w:sz="8" w:space="0" w:color="A6A6A6"/>
            </w:tcBorders>
            <w:vAlign w:val="center"/>
            <w:hideMark/>
          </w:tcPr>
          <w:p w14:paraId="511F4690" w14:textId="77777777" w:rsidR="005B2A50" w:rsidRDefault="005B2A50" w:rsidP="00411DA3">
            <w:pPr>
              <w:spacing w:line="254" w:lineRule="auto"/>
              <w:jc w:val="right"/>
              <w:rPr>
                <w:color w:val="000000"/>
                <w:sz w:val="20"/>
                <w:szCs w:val="20"/>
              </w:rPr>
            </w:pPr>
            <w:r>
              <w:rPr>
                <w:color w:val="000000"/>
                <w:sz w:val="20"/>
                <w:szCs w:val="20"/>
              </w:rPr>
              <w:t>515,903,410.00</w:t>
            </w:r>
          </w:p>
        </w:tc>
        <w:tc>
          <w:tcPr>
            <w:tcW w:w="1862" w:type="dxa"/>
            <w:tcBorders>
              <w:top w:val="nil"/>
              <w:left w:val="nil"/>
              <w:bottom w:val="single" w:sz="8" w:space="0" w:color="A6A6A6"/>
              <w:right w:val="single" w:sz="8" w:space="0" w:color="A6A6A6"/>
            </w:tcBorders>
            <w:vAlign w:val="center"/>
            <w:hideMark/>
          </w:tcPr>
          <w:p w14:paraId="37E2F255" w14:textId="77777777" w:rsidR="005B2A50" w:rsidRDefault="005B2A50" w:rsidP="00411DA3">
            <w:pPr>
              <w:spacing w:line="254" w:lineRule="auto"/>
              <w:jc w:val="right"/>
              <w:rPr>
                <w:color w:val="000000"/>
                <w:sz w:val="20"/>
                <w:szCs w:val="20"/>
              </w:rPr>
            </w:pPr>
            <w:r>
              <w:rPr>
                <w:color w:val="000000"/>
                <w:sz w:val="20"/>
                <w:szCs w:val="20"/>
              </w:rPr>
              <w:t>515,903,410.00</w:t>
            </w:r>
          </w:p>
        </w:tc>
      </w:tr>
      <w:tr w:rsidR="005B2A50" w14:paraId="381B65ED" w14:textId="77777777" w:rsidTr="005B2A50">
        <w:trPr>
          <w:trHeight w:val="553"/>
          <w:jc w:val="center"/>
        </w:trPr>
        <w:tc>
          <w:tcPr>
            <w:tcW w:w="2696" w:type="dxa"/>
            <w:tcBorders>
              <w:top w:val="nil"/>
              <w:left w:val="single" w:sz="8" w:space="0" w:color="A6A6A6"/>
              <w:bottom w:val="single" w:sz="8" w:space="0" w:color="A6A6A6"/>
              <w:right w:val="single" w:sz="8" w:space="0" w:color="A6A6A6"/>
            </w:tcBorders>
            <w:vAlign w:val="center"/>
            <w:hideMark/>
          </w:tcPr>
          <w:p w14:paraId="38FFA222" w14:textId="77777777" w:rsidR="005B2A50" w:rsidRDefault="005B2A50" w:rsidP="00411DA3">
            <w:pPr>
              <w:spacing w:line="360" w:lineRule="auto"/>
              <w:jc w:val="both"/>
              <w:rPr>
                <w:color w:val="000000"/>
                <w:sz w:val="20"/>
                <w:szCs w:val="20"/>
              </w:rPr>
            </w:pPr>
            <w:r>
              <w:rPr>
                <w:color w:val="000000"/>
                <w:sz w:val="20"/>
                <w:szCs w:val="20"/>
              </w:rPr>
              <w:t>Universidad Autónoma de Tlaxcala</w:t>
            </w:r>
          </w:p>
        </w:tc>
        <w:tc>
          <w:tcPr>
            <w:tcW w:w="1540" w:type="dxa"/>
            <w:tcBorders>
              <w:top w:val="nil"/>
              <w:left w:val="nil"/>
              <w:bottom w:val="single" w:sz="8" w:space="0" w:color="A6A6A6"/>
              <w:right w:val="single" w:sz="8" w:space="0" w:color="A6A6A6"/>
            </w:tcBorders>
            <w:vAlign w:val="center"/>
            <w:hideMark/>
          </w:tcPr>
          <w:p w14:paraId="41FBBC62" w14:textId="77777777" w:rsidR="005B2A50" w:rsidRDefault="005B2A50" w:rsidP="00411DA3">
            <w:pPr>
              <w:spacing w:line="254" w:lineRule="auto"/>
              <w:jc w:val="right"/>
              <w:rPr>
                <w:color w:val="000000"/>
                <w:sz w:val="20"/>
                <w:szCs w:val="20"/>
              </w:rPr>
            </w:pPr>
            <w:r>
              <w:rPr>
                <w:color w:val="000000"/>
                <w:sz w:val="20"/>
                <w:szCs w:val="20"/>
              </w:rPr>
              <w:t>133,394,782.00</w:t>
            </w:r>
          </w:p>
        </w:tc>
        <w:tc>
          <w:tcPr>
            <w:tcW w:w="1830" w:type="dxa"/>
            <w:tcBorders>
              <w:top w:val="nil"/>
              <w:left w:val="nil"/>
              <w:bottom w:val="single" w:sz="8" w:space="0" w:color="A6A6A6"/>
              <w:right w:val="single" w:sz="8" w:space="0" w:color="A6A6A6"/>
            </w:tcBorders>
            <w:vAlign w:val="center"/>
            <w:hideMark/>
          </w:tcPr>
          <w:p w14:paraId="7176C0C2" w14:textId="77777777" w:rsidR="005B2A50" w:rsidRDefault="005B2A50" w:rsidP="00411DA3">
            <w:pPr>
              <w:spacing w:line="254" w:lineRule="auto"/>
              <w:jc w:val="right"/>
              <w:rPr>
                <w:color w:val="000000"/>
                <w:sz w:val="20"/>
                <w:szCs w:val="20"/>
              </w:rPr>
            </w:pPr>
            <w:r>
              <w:rPr>
                <w:color w:val="000000"/>
                <w:sz w:val="20"/>
                <w:szCs w:val="20"/>
              </w:rPr>
              <w:t>137,432,527.00</w:t>
            </w:r>
          </w:p>
        </w:tc>
        <w:tc>
          <w:tcPr>
            <w:tcW w:w="1862" w:type="dxa"/>
            <w:tcBorders>
              <w:top w:val="nil"/>
              <w:left w:val="nil"/>
              <w:bottom w:val="single" w:sz="8" w:space="0" w:color="A6A6A6"/>
              <w:right w:val="single" w:sz="8" w:space="0" w:color="A6A6A6"/>
            </w:tcBorders>
            <w:vAlign w:val="center"/>
            <w:hideMark/>
          </w:tcPr>
          <w:p w14:paraId="73CDC56A" w14:textId="77777777" w:rsidR="005B2A50" w:rsidRDefault="005B2A50" w:rsidP="00411DA3">
            <w:pPr>
              <w:spacing w:line="254" w:lineRule="auto"/>
              <w:jc w:val="right"/>
              <w:rPr>
                <w:color w:val="000000"/>
                <w:sz w:val="20"/>
                <w:szCs w:val="20"/>
              </w:rPr>
            </w:pPr>
            <w:r>
              <w:rPr>
                <w:color w:val="000000"/>
                <w:sz w:val="20"/>
                <w:szCs w:val="20"/>
              </w:rPr>
              <w:t>137,432,527.00</w:t>
            </w:r>
          </w:p>
        </w:tc>
      </w:tr>
      <w:tr w:rsidR="005B2A50" w14:paraId="50947D14" w14:textId="77777777" w:rsidTr="005B2A50">
        <w:trPr>
          <w:trHeight w:val="615"/>
          <w:jc w:val="center"/>
        </w:trPr>
        <w:tc>
          <w:tcPr>
            <w:tcW w:w="2696" w:type="dxa"/>
            <w:tcBorders>
              <w:top w:val="nil"/>
              <w:left w:val="single" w:sz="8" w:space="0" w:color="A6A6A6"/>
              <w:bottom w:val="single" w:sz="8" w:space="0" w:color="A6A6A6"/>
              <w:right w:val="single" w:sz="8" w:space="0" w:color="A6A6A6"/>
            </w:tcBorders>
            <w:vAlign w:val="center"/>
            <w:hideMark/>
          </w:tcPr>
          <w:p w14:paraId="0E21F6AA" w14:textId="77777777" w:rsidR="005B2A50" w:rsidRDefault="005B2A50" w:rsidP="00411DA3">
            <w:pPr>
              <w:spacing w:line="360" w:lineRule="auto"/>
              <w:jc w:val="both"/>
              <w:rPr>
                <w:color w:val="000000"/>
                <w:sz w:val="20"/>
                <w:szCs w:val="20"/>
              </w:rPr>
            </w:pPr>
            <w:r>
              <w:rPr>
                <w:color w:val="000000"/>
                <w:sz w:val="20"/>
                <w:szCs w:val="20"/>
              </w:rPr>
              <w:t>Comisión Estatal de Derechos Humanos</w:t>
            </w:r>
          </w:p>
        </w:tc>
        <w:tc>
          <w:tcPr>
            <w:tcW w:w="1540" w:type="dxa"/>
            <w:tcBorders>
              <w:top w:val="nil"/>
              <w:left w:val="nil"/>
              <w:bottom w:val="single" w:sz="8" w:space="0" w:color="A6A6A6"/>
              <w:right w:val="single" w:sz="8" w:space="0" w:color="A6A6A6"/>
            </w:tcBorders>
            <w:vAlign w:val="center"/>
            <w:hideMark/>
          </w:tcPr>
          <w:p w14:paraId="480088C3" w14:textId="77777777" w:rsidR="005B2A50" w:rsidRDefault="005B2A50" w:rsidP="00411DA3">
            <w:pPr>
              <w:spacing w:line="254" w:lineRule="auto"/>
              <w:jc w:val="right"/>
              <w:rPr>
                <w:color w:val="000000"/>
                <w:sz w:val="20"/>
                <w:szCs w:val="20"/>
              </w:rPr>
            </w:pPr>
            <w:r>
              <w:rPr>
                <w:color w:val="000000"/>
                <w:sz w:val="20"/>
                <w:szCs w:val="20"/>
              </w:rPr>
              <w:t>26,095,253.00</w:t>
            </w:r>
          </w:p>
        </w:tc>
        <w:tc>
          <w:tcPr>
            <w:tcW w:w="1830" w:type="dxa"/>
            <w:tcBorders>
              <w:top w:val="nil"/>
              <w:left w:val="nil"/>
              <w:bottom w:val="single" w:sz="8" w:space="0" w:color="A6A6A6"/>
              <w:right w:val="single" w:sz="8" w:space="0" w:color="A6A6A6"/>
            </w:tcBorders>
            <w:vAlign w:val="center"/>
            <w:hideMark/>
          </w:tcPr>
          <w:p w14:paraId="578B72BC" w14:textId="77777777" w:rsidR="005B2A50" w:rsidRDefault="005B2A50" w:rsidP="00411DA3">
            <w:pPr>
              <w:spacing w:line="254" w:lineRule="auto"/>
              <w:jc w:val="right"/>
              <w:rPr>
                <w:color w:val="000000"/>
                <w:sz w:val="20"/>
                <w:szCs w:val="20"/>
              </w:rPr>
            </w:pPr>
            <w:r>
              <w:rPr>
                <w:color w:val="000000"/>
                <w:sz w:val="20"/>
                <w:szCs w:val="20"/>
              </w:rPr>
              <w:t>28,382,484.00</w:t>
            </w:r>
          </w:p>
        </w:tc>
        <w:tc>
          <w:tcPr>
            <w:tcW w:w="1862" w:type="dxa"/>
            <w:tcBorders>
              <w:top w:val="nil"/>
              <w:left w:val="nil"/>
              <w:bottom w:val="single" w:sz="8" w:space="0" w:color="A6A6A6"/>
              <w:right w:val="single" w:sz="8" w:space="0" w:color="A6A6A6"/>
            </w:tcBorders>
            <w:vAlign w:val="center"/>
            <w:hideMark/>
          </w:tcPr>
          <w:p w14:paraId="1BBD8498" w14:textId="77777777" w:rsidR="005B2A50" w:rsidRDefault="005B2A50" w:rsidP="00411DA3">
            <w:pPr>
              <w:spacing w:line="254" w:lineRule="auto"/>
              <w:jc w:val="right"/>
              <w:rPr>
                <w:color w:val="000000"/>
                <w:sz w:val="20"/>
                <w:szCs w:val="20"/>
              </w:rPr>
            </w:pPr>
            <w:r>
              <w:rPr>
                <w:color w:val="000000"/>
                <w:sz w:val="20"/>
                <w:szCs w:val="20"/>
              </w:rPr>
              <w:t>28,382,484.00</w:t>
            </w:r>
          </w:p>
        </w:tc>
      </w:tr>
      <w:tr w:rsidR="005B2A50" w14:paraId="22089FAB" w14:textId="77777777" w:rsidTr="005B2A50">
        <w:trPr>
          <w:trHeight w:val="615"/>
          <w:jc w:val="center"/>
        </w:trPr>
        <w:tc>
          <w:tcPr>
            <w:tcW w:w="2696" w:type="dxa"/>
            <w:tcBorders>
              <w:top w:val="nil"/>
              <w:left w:val="single" w:sz="8" w:space="0" w:color="A6A6A6"/>
              <w:bottom w:val="single" w:sz="8" w:space="0" w:color="A6A6A6"/>
              <w:right w:val="single" w:sz="8" w:space="0" w:color="A6A6A6"/>
            </w:tcBorders>
            <w:vAlign w:val="center"/>
            <w:hideMark/>
          </w:tcPr>
          <w:p w14:paraId="6B8F5B81" w14:textId="77777777" w:rsidR="005B2A50" w:rsidRDefault="005B2A50" w:rsidP="00411DA3">
            <w:pPr>
              <w:spacing w:line="360" w:lineRule="auto"/>
              <w:jc w:val="both"/>
              <w:rPr>
                <w:color w:val="000000"/>
                <w:sz w:val="20"/>
                <w:szCs w:val="20"/>
              </w:rPr>
            </w:pPr>
            <w:r>
              <w:rPr>
                <w:color w:val="000000"/>
                <w:sz w:val="20"/>
                <w:szCs w:val="20"/>
              </w:rPr>
              <w:t>Instituto Tlaxcalteca de Elecciones</w:t>
            </w:r>
          </w:p>
        </w:tc>
        <w:tc>
          <w:tcPr>
            <w:tcW w:w="1540" w:type="dxa"/>
            <w:tcBorders>
              <w:top w:val="nil"/>
              <w:left w:val="nil"/>
              <w:bottom w:val="single" w:sz="8" w:space="0" w:color="A6A6A6"/>
              <w:right w:val="single" w:sz="8" w:space="0" w:color="A6A6A6"/>
            </w:tcBorders>
            <w:vAlign w:val="center"/>
            <w:hideMark/>
          </w:tcPr>
          <w:p w14:paraId="75B64BA3" w14:textId="77777777" w:rsidR="005B2A50" w:rsidRDefault="005B2A50" w:rsidP="00411DA3">
            <w:pPr>
              <w:spacing w:line="254" w:lineRule="auto"/>
              <w:jc w:val="right"/>
              <w:rPr>
                <w:color w:val="000000"/>
                <w:sz w:val="20"/>
                <w:szCs w:val="20"/>
              </w:rPr>
            </w:pPr>
            <w:r>
              <w:rPr>
                <w:color w:val="000000"/>
                <w:sz w:val="20"/>
                <w:szCs w:val="20"/>
              </w:rPr>
              <w:t>275,689,154.00</w:t>
            </w:r>
          </w:p>
        </w:tc>
        <w:tc>
          <w:tcPr>
            <w:tcW w:w="1830" w:type="dxa"/>
            <w:tcBorders>
              <w:top w:val="nil"/>
              <w:left w:val="nil"/>
              <w:bottom w:val="single" w:sz="8" w:space="0" w:color="A6A6A6"/>
              <w:right w:val="single" w:sz="8" w:space="0" w:color="A6A6A6"/>
            </w:tcBorders>
            <w:vAlign w:val="center"/>
            <w:hideMark/>
          </w:tcPr>
          <w:p w14:paraId="6D809C15" w14:textId="77777777" w:rsidR="005B2A50" w:rsidRDefault="005B2A50" w:rsidP="00411DA3">
            <w:pPr>
              <w:spacing w:line="254" w:lineRule="auto"/>
              <w:jc w:val="right"/>
              <w:rPr>
                <w:color w:val="000000"/>
                <w:sz w:val="20"/>
                <w:szCs w:val="20"/>
              </w:rPr>
            </w:pPr>
            <w:r>
              <w:rPr>
                <w:color w:val="000000"/>
                <w:sz w:val="20"/>
                <w:szCs w:val="20"/>
              </w:rPr>
              <w:t>128,806,150.00</w:t>
            </w:r>
          </w:p>
        </w:tc>
        <w:tc>
          <w:tcPr>
            <w:tcW w:w="1862" w:type="dxa"/>
            <w:tcBorders>
              <w:top w:val="nil"/>
              <w:left w:val="nil"/>
              <w:bottom w:val="single" w:sz="8" w:space="0" w:color="A6A6A6"/>
              <w:right w:val="single" w:sz="8" w:space="0" w:color="A6A6A6"/>
            </w:tcBorders>
            <w:vAlign w:val="center"/>
            <w:hideMark/>
          </w:tcPr>
          <w:p w14:paraId="79F0B2CF" w14:textId="77777777" w:rsidR="005B2A50" w:rsidRDefault="005B2A50" w:rsidP="00411DA3">
            <w:pPr>
              <w:spacing w:line="254" w:lineRule="auto"/>
              <w:jc w:val="right"/>
              <w:rPr>
                <w:color w:val="000000"/>
                <w:sz w:val="20"/>
                <w:szCs w:val="20"/>
              </w:rPr>
            </w:pPr>
            <w:r>
              <w:rPr>
                <w:color w:val="000000"/>
                <w:sz w:val="20"/>
                <w:szCs w:val="20"/>
              </w:rPr>
              <w:t>128,806,150.00</w:t>
            </w:r>
          </w:p>
        </w:tc>
      </w:tr>
      <w:tr w:rsidR="005B2A50" w14:paraId="41F5F060" w14:textId="77777777" w:rsidTr="005B2A50">
        <w:trPr>
          <w:trHeight w:val="754"/>
          <w:jc w:val="center"/>
        </w:trPr>
        <w:tc>
          <w:tcPr>
            <w:tcW w:w="2696" w:type="dxa"/>
            <w:tcBorders>
              <w:top w:val="nil"/>
              <w:left w:val="single" w:sz="8" w:space="0" w:color="A6A6A6"/>
              <w:bottom w:val="single" w:sz="8" w:space="0" w:color="A6A6A6"/>
              <w:right w:val="single" w:sz="8" w:space="0" w:color="A6A6A6"/>
            </w:tcBorders>
            <w:vAlign w:val="center"/>
            <w:hideMark/>
          </w:tcPr>
          <w:p w14:paraId="3FE22F53" w14:textId="77777777" w:rsidR="005B2A50" w:rsidRDefault="005B2A50" w:rsidP="00411DA3">
            <w:pPr>
              <w:spacing w:line="360" w:lineRule="auto"/>
              <w:jc w:val="both"/>
              <w:rPr>
                <w:color w:val="000000"/>
                <w:sz w:val="20"/>
                <w:szCs w:val="20"/>
              </w:rPr>
            </w:pPr>
            <w:r>
              <w:rPr>
                <w:color w:val="000000"/>
                <w:sz w:val="20"/>
                <w:szCs w:val="20"/>
              </w:rPr>
              <w:lastRenderedPageBreak/>
              <w:t>Instituto de Acceso a la Información Pública y Protección de Datos Personales</w:t>
            </w:r>
          </w:p>
        </w:tc>
        <w:tc>
          <w:tcPr>
            <w:tcW w:w="1540" w:type="dxa"/>
            <w:tcBorders>
              <w:top w:val="nil"/>
              <w:left w:val="nil"/>
              <w:bottom w:val="single" w:sz="8" w:space="0" w:color="A6A6A6"/>
              <w:right w:val="single" w:sz="8" w:space="0" w:color="A6A6A6"/>
            </w:tcBorders>
            <w:vAlign w:val="center"/>
            <w:hideMark/>
          </w:tcPr>
          <w:p w14:paraId="633E5293" w14:textId="77777777" w:rsidR="005B2A50" w:rsidRDefault="005B2A50" w:rsidP="00411DA3">
            <w:pPr>
              <w:spacing w:line="254" w:lineRule="auto"/>
              <w:jc w:val="right"/>
              <w:rPr>
                <w:color w:val="000000"/>
                <w:sz w:val="20"/>
                <w:szCs w:val="20"/>
              </w:rPr>
            </w:pPr>
            <w:r>
              <w:rPr>
                <w:color w:val="000000"/>
                <w:sz w:val="20"/>
                <w:szCs w:val="20"/>
              </w:rPr>
              <w:t>21,043,057.00</w:t>
            </w:r>
          </w:p>
        </w:tc>
        <w:tc>
          <w:tcPr>
            <w:tcW w:w="1830" w:type="dxa"/>
            <w:tcBorders>
              <w:top w:val="nil"/>
              <w:left w:val="nil"/>
              <w:bottom w:val="single" w:sz="8" w:space="0" w:color="A6A6A6"/>
              <w:right w:val="single" w:sz="8" w:space="0" w:color="A6A6A6"/>
            </w:tcBorders>
            <w:vAlign w:val="center"/>
            <w:hideMark/>
          </w:tcPr>
          <w:p w14:paraId="68F2BFEB" w14:textId="77777777" w:rsidR="005B2A50" w:rsidRDefault="005B2A50" w:rsidP="00411DA3">
            <w:pPr>
              <w:spacing w:line="254" w:lineRule="auto"/>
              <w:jc w:val="right"/>
              <w:rPr>
                <w:color w:val="000000"/>
                <w:sz w:val="20"/>
                <w:szCs w:val="20"/>
              </w:rPr>
            </w:pPr>
            <w:r>
              <w:rPr>
                <w:color w:val="000000"/>
                <w:sz w:val="20"/>
                <w:szCs w:val="20"/>
              </w:rPr>
              <w:t>21,701,706.00</w:t>
            </w:r>
          </w:p>
        </w:tc>
        <w:tc>
          <w:tcPr>
            <w:tcW w:w="1862" w:type="dxa"/>
            <w:tcBorders>
              <w:top w:val="nil"/>
              <w:left w:val="nil"/>
              <w:bottom w:val="single" w:sz="8" w:space="0" w:color="A6A6A6"/>
              <w:right w:val="single" w:sz="8" w:space="0" w:color="A6A6A6"/>
            </w:tcBorders>
            <w:vAlign w:val="center"/>
            <w:hideMark/>
          </w:tcPr>
          <w:p w14:paraId="43B99780" w14:textId="77777777" w:rsidR="005B2A50" w:rsidRDefault="005B2A50" w:rsidP="00411DA3">
            <w:pPr>
              <w:spacing w:line="254" w:lineRule="auto"/>
              <w:jc w:val="right"/>
              <w:rPr>
                <w:color w:val="000000"/>
                <w:sz w:val="20"/>
                <w:szCs w:val="20"/>
              </w:rPr>
            </w:pPr>
            <w:r>
              <w:rPr>
                <w:color w:val="000000"/>
                <w:sz w:val="20"/>
                <w:szCs w:val="20"/>
              </w:rPr>
              <w:t>21,701,706.00</w:t>
            </w:r>
          </w:p>
        </w:tc>
      </w:tr>
      <w:tr w:rsidR="005B2A50" w14:paraId="529C8A15" w14:textId="77777777" w:rsidTr="005B2A50">
        <w:trPr>
          <w:trHeight w:val="611"/>
          <w:jc w:val="center"/>
        </w:trPr>
        <w:tc>
          <w:tcPr>
            <w:tcW w:w="2696" w:type="dxa"/>
            <w:tcBorders>
              <w:top w:val="nil"/>
              <w:left w:val="single" w:sz="8" w:space="0" w:color="A6A6A6"/>
              <w:bottom w:val="single" w:sz="8" w:space="0" w:color="A6A6A6"/>
              <w:right w:val="single" w:sz="8" w:space="0" w:color="A6A6A6"/>
            </w:tcBorders>
            <w:vAlign w:val="center"/>
            <w:hideMark/>
          </w:tcPr>
          <w:p w14:paraId="13137BC7" w14:textId="77777777" w:rsidR="005B2A50" w:rsidRDefault="005B2A50" w:rsidP="00411DA3">
            <w:pPr>
              <w:spacing w:line="360" w:lineRule="auto"/>
              <w:jc w:val="both"/>
              <w:rPr>
                <w:color w:val="000000"/>
                <w:sz w:val="20"/>
                <w:szCs w:val="20"/>
              </w:rPr>
            </w:pPr>
            <w:r>
              <w:rPr>
                <w:color w:val="000000"/>
                <w:sz w:val="20"/>
                <w:szCs w:val="20"/>
              </w:rPr>
              <w:t>Tribunal de Conciliación y Arbitraje</w:t>
            </w:r>
          </w:p>
        </w:tc>
        <w:tc>
          <w:tcPr>
            <w:tcW w:w="1540" w:type="dxa"/>
            <w:tcBorders>
              <w:top w:val="nil"/>
              <w:left w:val="nil"/>
              <w:bottom w:val="single" w:sz="8" w:space="0" w:color="A6A6A6"/>
              <w:right w:val="single" w:sz="8" w:space="0" w:color="A6A6A6"/>
            </w:tcBorders>
            <w:vAlign w:val="center"/>
            <w:hideMark/>
          </w:tcPr>
          <w:p w14:paraId="6D804028" w14:textId="77777777" w:rsidR="005B2A50" w:rsidRDefault="005B2A50" w:rsidP="00411DA3">
            <w:pPr>
              <w:spacing w:line="254" w:lineRule="auto"/>
              <w:jc w:val="right"/>
              <w:rPr>
                <w:color w:val="000000"/>
                <w:sz w:val="20"/>
                <w:szCs w:val="20"/>
              </w:rPr>
            </w:pPr>
            <w:r>
              <w:rPr>
                <w:color w:val="000000"/>
                <w:sz w:val="20"/>
                <w:szCs w:val="20"/>
              </w:rPr>
              <w:t>18,331,909.00</w:t>
            </w:r>
          </w:p>
        </w:tc>
        <w:tc>
          <w:tcPr>
            <w:tcW w:w="1830" w:type="dxa"/>
            <w:tcBorders>
              <w:top w:val="nil"/>
              <w:left w:val="nil"/>
              <w:bottom w:val="single" w:sz="8" w:space="0" w:color="A6A6A6"/>
              <w:right w:val="single" w:sz="8" w:space="0" w:color="A6A6A6"/>
            </w:tcBorders>
            <w:vAlign w:val="center"/>
            <w:hideMark/>
          </w:tcPr>
          <w:p w14:paraId="6C2A2794" w14:textId="77777777" w:rsidR="005B2A50" w:rsidRDefault="005B2A50" w:rsidP="00411DA3">
            <w:pPr>
              <w:spacing w:line="254" w:lineRule="auto"/>
              <w:jc w:val="right"/>
              <w:rPr>
                <w:color w:val="000000"/>
                <w:sz w:val="20"/>
                <w:szCs w:val="20"/>
              </w:rPr>
            </w:pPr>
            <w:r>
              <w:rPr>
                <w:color w:val="000000"/>
                <w:sz w:val="20"/>
                <w:szCs w:val="20"/>
              </w:rPr>
              <w:t>18,885,184.00</w:t>
            </w:r>
          </w:p>
        </w:tc>
        <w:tc>
          <w:tcPr>
            <w:tcW w:w="1862" w:type="dxa"/>
            <w:tcBorders>
              <w:top w:val="nil"/>
              <w:left w:val="nil"/>
              <w:bottom w:val="single" w:sz="8" w:space="0" w:color="A6A6A6"/>
              <w:right w:val="single" w:sz="8" w:space="0" w:color="A6A6A6"/>
            </w:tcBorders>
            <w:vAlign w:val="center"/>
            <w:hideMark/>
          </w:tcPr>
          <w:p w14:paraId="283D4C15" w14:textId="77777777" w:rsidR="005B2A50" w:rsidRDefault="005B2A50" w:rsidP="00411DA3">
            <w:pPr>
              <w:spacing w:line="254" w:lineRule="auto"/>
              <w:jc w:val="right"/>
              <w:rPr>
                <w:color w:val="000000"/>
                <w:sz w:val="20"/>
                <w:szCs w:val="20"/>
              </w:rPr>
            </w:pPr>
            <w:r>
              <w:rPr>
                <w:color w:val="000000"/>
                <w:sz w:val="20"/>
                <w:szCs w:val="20"/>
              </w:rPr>
              <w:t>18,885,184.00</w:t>
            </w:r>
          </w:p>
        </w:tc>
      </w:tr>
      <w:tr w:rsidR="005B2A50" w14:paraId="616760CD" w14:textId="77777777" w:rsidTr="005B2A50">
        <w:trPr>
          <w:trHeight w:val="615"/>
          <w:jc w:val="center"/>
        </w:trPr>
        <w:tc>
          <w:tcPr>
            <w:tcW w:w="2696" w:type="dxa"/>
            <w:tcBorders>
              <w:top w:val="nil"/>
              <w:left w:val="single" w:sz="8" w:space="0" w:color="A6A6A6"/>
              <w:bottom w:val="single" w:sz="8" w:space="0" w:color="A6A6A6"/>
              <w:right w:val="single" w:sz="8" w:space="0" w:color="A6A6A6"/>
            </w:tcBorders>
            <w:vAlign w:val="center"/>
            <w:hideMark/>
          </w:tcPr>
          <w:p w14:paraId="5A6A3A45" w14:textId="77777777" w:rsidR="005B2A50" w:rsidRDefault="005B2A50" w:rsidP="00411DA3">
            <w:pPr>
              <w:spacing w:line="360" w:lineRule="auto"/>
              <w:jc w:val="both"/>
              <w:rPr>
                <w:color w:val="000000"/>
                <w:sz w:val="20"/>
                <w:szCs w:val="20"/>
              </w:rPr>
            </w:pPr>
            <w:r>
              <w:rPr>
                <w:color w:val="000000"/>
                <w:sz w:val="20"/>
                <w:szCs w:val="20"/>
              </w:rPr>
              <w:t>Tribunal Electoral de Tlaxcala</w:t>
            </w:r>
          </w:p>
        </w:tc>
        <w:tc>
          <w:tcPr>
            <w:tcW w:w="1540" w:type="dxa"/>
            <w:tcBorders>
              <w:top w:val="nil"/>
              <w:left w:val="nil"/>
              <w:bottom w:val="single" w:sz="8" w:space="0" w:color="A6A6A6"/>
              <w:right w:val="single" w:sz="8" w:space="0" w:color="A6A6A6"/>
            </w:tcBorders>
            <w:vAlign w:val="center"/>
            <w:hideMark/>
          </w:tcPr>
          <w:p w14:paraId="384A3F76" w14:textId="77777777" w:rsidR="005B2A50" w:rsidRDefault="005B2A50" w:rsidP="00411DA3">
            <w:pPr>
              <w:spacing w:line="254" w:lineRule="auto"/>
              <w:jc w:val="right"/>
              <w:rPr>
                <w:color w:val="000000"/>
                <w:sz w:val="20"/>
                <w:szCs w:val="20"/>
              </w:rPr>
            </w:pPr>
            <w:r>
              <w:rPr>
                <w:color w:val="000000"/>
                <w:sz w:val="20"/>
                <w:szCs w:val="20"/>
              </w:rPr>
              <w:t>45,907,570.00</w:t>
            </w:r>
          </w:p>
        </w:tc>
        <w:tc>
          <w:tcPr>
            <w:tcW w:w="1830" w:type="dxa"/>
            <w:tcBorders>
              <w:top w:val="nil"/>
              <w:left w:val="nil"/>
              <w:bottom w:val="single" w:sz="8" w:space="0" w:color="A6A6A6"/>
              <w:right w:val="single" w:sz="8" w:space="0" w:color="A6A6A6"/>
            </w:tcBorders>
            <w:vAlign w:val="center"/>
            <w:hideMark/>
          </w:tcPr>
          <w:p w14:paraId="137155E8" w14:textId="77777777" w:rsidR="005B2A50" w:rsidRDefault="005B2A50" w:rsidP="00411DA3">
            <w:pPr>
              <w:spacing w:line="254" w:lineRule="auto"/>
              <w:jc w:val="right"/>
              <w:rPr>
                <w:color w:val="000000"/>
                <w:sz w:val="20"/>
                <w:szCs w:val="20"/>
              </w:rPr>
            </w:pPr>
            <w:r>
              <w:rPr>
                <w:color w:val="000000"/>
                <w:sz w:val="20"/>
                <w:szCs w:val="20"/>
              </w:rPr>
              <w:t>47,010,768.00</w:t>
            </w:r>
          </w:p>
        </w:tc>
        <w:tc>
          <w:tcPr>
            <w:tcW w:w="1862" w:type="dxa"/>
            <w:tcBorders>
              <w:top w:val="nil"/>
              <w:left w:val="nil"/>
              <w:bottom w:val="single" w:sz="8" w:space="0" w:color="A6A6A6"/>
              <w:right w:val="single" w:sz="8" w:space="0" w:color="A6A6A6"/>
            </w:tcBorders>
            <w:vAlign w:val="center"/>
            <w:hideMark/>
          </w:tcPr>
          <w:p w14:paraId="7DF9560E" w14:textId="77777777" w:rsidR="005B2A50" w:rsidRDefault="005B2A50" w:rsidP="00411DA3">
            <w:pPr>
              <w:spacing w:line="254" w:lineRule="auto"/>
              <w:jc w:val="right"/>
              <w:rPr>
                <w:color w:val="000000"/>
                <w:sz w:val="20"/>
                <w:szCs w:val="20"/>
              </w:rPr>
            </w:pPr>
            <w:r>
              <w:rPr>
                <w:color w:val="000000"/>
                <w:sz w:val="20"/>
                <w:szCs w:val="20"/>
              </w:rPr>
              <w:t>47,010,768.00</w:t>
            </w:r>
          </w:p>
        </w:tc>
      </w:tr>
      <w:tr w:rsidR="005B2A50" w14:paraId="046AFC5F" w14:textId="77777777" w:rsidTr="005B2A50">
        <w:trPr>
          <w:trHeight w:val="615"/>
          <w:jc w:val="center"/>
        </w:trPr>
        <w:tc>
          <w:tcPr>
            <w:tcW w:w="2696" w:type="dxa"/>
            <w:tcBorders>
              <w:top w:val="nil"/>
              <w:left w:val="single" w:sz="8" w:space="0" w:color="A6A6A6"/>
              <w:bottom w:val="single" w:sz="8" w:space="0" w:color="A6A6A6"/>
              <w:right w:val="single" w:sz="8" w:space="0" w:color="A6A6A6"/>
            </w:tcBorders>
            <w:vAlign w:val="center"/>
            <w:hideMark/>
          </w:tcPr>
          <w:p w14:paraId="55F99347" w14:textId="77777777" w:rsidR="005B2A50" w:rsidRDefault="005B2A50" w:rsidP="00411DA3">
            <w:pPr>
              <w:spacing w:line="360" w:lineRule="auto"/>
              <w:jc w:val="both"/>
              <w:rPr>
                <w:color w:val="000000"/>
                <w:sz w:val="20"/>
                <w:szCs w:val="20"/>
              </w:rPr>
            </w:pPr>
            <w:r>
              <w:rPr>
                <w:color w:val="000000"/>
                <w:sz w:val="20"/>
                <w:szCs w:val="20"/>
              </w:rPr>
              <w:t>Secretaría Ejecutiva del Sistema Anticorrupción del Estado de Tlaxcala</w:t>
            </w:r>
          </w:p>
        </w:tc>
        <w:tc>
          <w:tcPr>
            <w:tcW w:w="1540" w:type="dxa"/>
            <w:tcBorders>
              <w:top w:val="nil"/>
              <w:left w:val="nil"/>
              <w:bottom w:val="single" w:sz="8" w:space="0" w:color="A6A6A6"/>
              <w:right w:val="single" w:sz="8" w:space="0" w:color="A6A6A6"/>
            </w:tcBorders>
            <w:vAlign w:val="center"/>
            <w:hideMark/>
          </w:tcPr>
          <w:p w14:paraId="6293FFD4" w14:textId="77777777" w:rsidR="005B2A50" w:rsidRDefault="005B2A50" w:rsidP="00411DA3">
            <w:pPr>
              <w:spacing w:line="254" w:lineRule="auto"/>
              <w:jc w:val="right"/>
              <w:rPr>
                <w:color w:val="000000"/>
                <w:sz w:val="20"/>
                <w:szCs w:val="20"/>
              </w:rPr>
            </w:pPr>
            <w:r>
              <w:rPr>
                <w:color w:val="000000"/>
                <w:sz w:val="20"/>
                <w:szCs w:val="20"/>
              </w:rPr>
              <w:t>12,839,161.00</w:t>
            </w:r>
          </w:p>
        </w:tc>
        <w:tc>
          <w:tcPr>
            <w:tcW w:w="1830" w:type="dxa"/>
            <w:tcBorders>
              <w:top w:val="nil"/>
              <w:left w:val="nil"/>
              <w:bottom w:val="single" w:sz="8" w:space="0" w:color="A6A6A6"/>
              <w:right w:val="single" w:sz="8" w:space="0" w:color="A6A6A6"/>
            </w:tcBorders>
            <w:vAlign w:val="center"/>
            <w:hideMark/>
          </w:tcPr>
          <w:p w14:paraId="62CA5D94" w14:textId="77777777" w:rsidR="005B2A50" w:rsidRDefault="005B2A50" w:rsidP="00411DA3">
            <w:pPr>
              <w:spacing w:line="254" w:lineRule="auto"/>
              <w:jc w:val="right"/>
              <w:rPr>
                <w:color w:val="000000"/>
                <w:sz w:val="20"/>
                <w:szCs w:val="20"/>
              </w:rPr>
            </w:pPr>
            <w:r>
              <w:rPr>
                <w:color w:val="000000"/>
                <w:sz w:val="20"/>
                <w:szCs w:val="20"/>
              </w:rPr>
              <w:t>13,235,857.00</w:t>
            </w:r>
          </w:p>
        </w:tc>
        <w:tc>
          <w:tcPr>
            <w:tcW w:w="1862" w:type="dxa"/>
            <w:tcBorders>
              <w:top w:val="nil"/>
              <w:left w:val="nil"/>
              <w:bottom w:val="single" w:sz="8" w:space="0" w:color="A6A6A6"/>
              <w:right w:val="single" w:sz="8" w:space="0" w:color="A6A6A6"/>
            </w:tcBorders>
            <w:vAlign w:val="center"/>
            <w:hideMark/>
          </w:tcPr>
          <w:p w14:paraId="0874D062" w14:textId="77777777" w:rsidR="005B2A50" w:rsidRDefault="005B2A50" w:rsidP="00411DA3">
            <w:pPr>
              <w:spacing w:line="254" w:lineRule="auto"/>
              <w:jc w:val="right"/>
              <w:rPr>
                <w:color w:val="000000"/>
                <w:sz w:val="20"/>
                <w:szCs w:val="20"/>
              </w:rPr>
            </w:pPr>
            <w:r>
              <w:rPr>
                <w:color w:val="000000"/>
                <w:sz w:val="20"/>
                <w:szCs w:val="20"/>
              </w:rPr>
              <w:t>13,235,857.00</w:t>
            </w:r>
          </w:p>
        </w:tc>
      </w:tr>
      <w:tr w:rsidR="005B2A50" w14:paraId="5C0216EB" w14:textId="77777777" w:rsidTr="005B2A50">
        <w:trPr>
          <w:trHeight w:val="615"/>
          <w:jc w:val="center"/>
        </w:trPr>
        <w:tc>
          <w:tcPr>
            <w:tcW w:w="2696" w:type="dxa"/>
            <w:tcBorders>
              <w:top w:val="nil"/>
              <w:left w:val="single" w:sz="8" w:space="0" w:color="A6A6A6"/>
              <w:bottom w:val="single" w:sz="8" w:space="0" w:color="A6A6A6"/>
              <w:right w:val="single" w:sz="8" w:space="0" w:color="A6A6A6"/>
            </w:tcBorders>
            <w:vAlign w:val="center"/>
            <w:hideMark/>
          </w:tcPr>
          <w:p w14:paraId="176087E7" w14:textId="77777777" w:rsidR="005B2A50" w:rsidRDefault="005B2A50" w:rsidP="00411DA3">
            <w:pPr>
              <w:spacing w:line="360" w:lineRule="auto"/>
              <w:jc w:val="both"/>
              <w:rPr>
                <w:color w:val="000000"/>
                <w:sz w:val="20"/>
                <w:szCs w:val="20"/>
              </w:rPr>
            </w:pPr>
            <w:r>
              <w:rPr>
                <w:color w:val="000000"/>
                <w:sz w:val="20"/>
                <w:szCs w:val="20"/>
              </w:rPr>
              <w:t>Tribunal de Justicia Administrativa</w:t>
            </w:r>
          </w:p>
        </w:tc>
        <w:tc>
          <w:tcPr>
            <w:tcW w:w="1540" w:type="dxa"/>
            <w:tcBorders>
              <w:top w:val="nil"/>
              <w:left w:val="nil"/>
              <w:bottom w:val="single" w:sz="8" w:space="0" w:color="A6A6A6"/>
              <w:right w:val="single" w:sz="8" w:space="0" w:color="A6A6A6"/>
            </w:tcBorders>
            <w:vAlign w:val="center"/>
            <w:hideMark/>
          </w:tcPr>
          <w:p w14:paraId="6D4A7604" w14:textId="77777777" w:rsidR="005B2A50" w:rsidRDefault="005B2A50" w:rsidP="00411DA3">
            <w:pPr>
              <w:spacing w:line="254" w:lineRule="auto"/>
              <w:jc w:val="right"/>
              <w:rPr>
                <w:color w:val="000000"/>
                <w:sz w:val="20"/>
                <w:szCs w:val="20"/>
              </w:rPr>
            </w:pPr>
            <w:r>
              <w:rPr>
                <w:color w:val="000000"/>
                <w:sz w:val="20"/>
                <w:szCs w:val="20"/>
              </w:rPr>
              <w:t>65,052,716.00</w:t>
            </w:r>
          </w:p>
        </w:tc>
        <w:tc>
          <w:tcPr>
            <w:tcW w:w="1830" w:type="dxa"/>
            <w:tcBorders>
              <w:top w:val="nil"/>
              <w:left w:val="nil"/>
              <w:bottom w:val="single" w:sz="8" w:space="0" w:color="A6A6A6"/>
              <w:right w:val="single" w:sz="8" w:space="0" w:color="A6A6A6"/>
            </w:tcBorders>
            <w:vAlign w:val="center"/>
            <w:hideMark/>
          </w:tcPr>
          <w:p w14:paraId="5C9E7422" w14:textId="77777777" w:rsidR="005B2A50" w:rsidRDefault="005B2A50" w:rsidP="00411DA3">
            <w:pPr>
              <w:spacing w:line="254" w:lineRule="auto"/>
              <w:jc w:val="right"/>
              <w:rPr>
                <w:color w:val="000000"/>
                <w:sz w:val="20"/>
                <w:szCs w:val="20"/>
              </w:rPr>
            </w:pPr>
            <w:r>
              <w:rPr>
                <w:color w:val="000000"/>
                <w:sz w:val="20"/>
                <w:szCs w:val="20"/>
              </w:rPr>
              <w:t>67,017,097.00</w:t>
            </w:r>
          </w:p>
        </w:tc>
        <w:tc>
          <w:tcPr>
            <w:tcW w:w="1862" w:type="dxa"/>
            <w:tcBorders>
              <w:top w:val="nil"/>
              <w:left w:val="nil"/>
              <w:bottom w:val="single" w:sz="8" w:space="0" w:color="A6A6A6"/>
              <w:right w:val="single" w:sz="8" w:space="0" w:color="A6A6A6"/>
            </w:tcBorders>
            <w:vAlign w:val="center"/>
            <w:hideMark/>
          </w:tcPr>
          <w:p w14:paraId="45DA1FC8" w14:textId="77777777" w:rsidR="005B2A50" w:rsidRDefault="005B2A50" w:rsidP="00411DA3">
            <w:pPr>
              <w:spacing w:line="254" w:lineRule="auto"/>
              <w:jc w:val="right"/>
              <w:rPr>
                <w:color w:val="000000"/>
                <w:sz w:val="20"/>
                <w:szCs w:val="20"/>
              </w:rPr>
            </w:pPr>
            <w:r>
              <w:rPr>
                <w:color w:val="000000"/>
                <w:sz w:val="20"/>
                <w:szCs w:val="20"/>
              </w:rPr>
              <w:t>67,017,097.00</w:t>
            </w:r>
          </w:p>
        </w:tc>
      </w:tr>
      <w:tr w:rsidR="005B2A50" w14:paraId="4DFC16CD" w14:textId="77777777" w:rsidTr="005B2A50">
        <w:trPr>
          <w:trHeight w:val="615"/>
          <w:jc w:val="center"/>
        </w:trPr>
        <w:tc>
          <w:tcPr>
            <w:tcW w:w="2696" w:type="dxa"/>
            <w:tcBorders>
              <w:top w:val="nil"/>
              <w:left w:val="single" w:sz="8" w:space="0" w:color="A6A6A6"/>
              <w:bottom w:val="single" w:sz="8" w:space="0" w:color="A6A6A6"/>
              <w:right w:val="single" w:sz="8" w:space="0" w:color="A6A6A6"/>
            </w:tcBorders>
            <w:vAlign w:val="center"/>
          </w:tcPr>
          <w:p w14:paraId="5736185A" w14:textId="77777777" w:rsidR="005B2A50" w:rsidRDefault="005B2A50" w:rsidP="00411DA3">
            <w:pPr>
              <w:spacing w:line="360" w:lineRule="auto"/>
              <w:jc w:val="both"/>
              <w:rPr>
                <w:color w:val="000000"/>
                <w:sz w:val="20"/>
                <w:szCs w:val="20"/>
              </w:rPr>
            </w:pPr>
            <w:r w:rsidRPr="009473BA">
              <w:rPr>
                <w:color w:val="000000"/>
                <w:sz w:val="20"/>
                <w:szCs w:val="20"/>
              </w:rPr>
              <w:t>Fiscalía General de Justicia del Estado de Tlaxcala</w:t>
            </w:r>
          </w:p>
        </w:tc>
        <w:tc>
          <w:tcPr>
            <w:tcW w:w="1540" w:type="dxa"/>
            <w:tcBorders>
              <w:top w:val="nil"/>
              <w:left w:val="nil"/>
              <w:bottom w:val="single" w:sz="8" w:space="0" w:color="A6A6A6"/>
              <w:right w:val="single" w:sz="8" w:space="0" w:color="A6A6A6"/>
            </w:tcBorders>
            <w:vAlign w:val="center"/>
          </w:tcPr>
          <w:p w14:paraId="51510C83" w14:textId="77777777" w:rsidR="005B2A50" w:rsidRDefault="005B2A50" w:rsidP="00411DA3">
            <w:pPr>
              <w:spacing w:line="254" w:lineRule="auto"/>
              <w:jc w:val="right"/>
              <w:rPr>
                <w:color w:val="000000"/>
                <w:sz w:val="20"/>
                <w:szCs w:val="20"/>
              </w:rPr>
            </w:pPr>
            <w:r>
              <w:rPr>
                <w:color w:val="000000"/>
                <w:sz w:val="20"/>
                <w:szCs w:val="20"/>
              </w:rPr>
              <w:t>0.00</w:t>
            </w:r>
          </w:p>
        </w:tc>
        <w:tc>
          <w:tcPr>
            <w:tcW w:w="1830" w:type="dxa"/>
            <w:tcBorders>
              <w:top w:val="nil"/>
              <w:left w:val="nil"/>
              <w:bottom w:val="single" w:sz="8" w:space="0" w:color="A6A6A6"/>
              <w:right w:val="single" w:sz="8" w:space="0" w:color="A6A6A6"/>
            </w:tcBorders>
            <w:vAlign w:val="center"/>
          </w:tcPr>
          <w:p w14:paraId="2D59D2EF" w14:textId="77777777" w:rsidR="005B2A50" w:rsidRDefault="005B2A50" w:rsidP="00411DA3">
            <w:pPr>
              <w:spacing w:line="254" w:lineRule="auto"/>
              <w:jc w:val="right"/>
              <w:rPr>
                <w:color w:val="000000"/>
                <w:sz w:val="20"/>
                <w:szCs w:val="20"/>
              </w:rPr>
            </w:pPr>
            <w:r>
              <w:rPr>
                <w:color w:val="000000"/>
                <w:sz w:val="20"/>
                <w:szCs w:val="20"/>
              </w:rPr>
              <w:t>505,000,000.00</w:t>
            </w:r>
          </w:p>
        </w:tc>
        <w:tc>
          <w:tcPr>
            <w:tcW w:w="1862" w:type="dxa"/>
            <w:tcBorders>
              <w:top w:val="nil"/>
              <w:left w:val="nil"/>
              <w:bottom w:val="single" w:sz="8" w:space="0" w:color="A6A6A6"/>
              <w:right w:val="single" w:sz="8" w:space="0" w:color="A6A6A6"/>
            </w:tcBorders>
            <w:vAlign w:val="center"/>
          </w:tcPr>
          <w:p w14:paraId="69FDF064" w14:textId="77777777" w:rsidR="005B2A50" w:rsidRDefault="005B2A50" w:rsidP="00411DA3">
            <w:pPr>
              <w:spacing w:line="254" w:lineRule="auto"/>
              <w:jc w:val="right"/>
              <w:rPr>
                <w:color w:val="000000"/>
                <w:sz w:val="20"/>
                <w:szCs w:val="20"/>
              </w:rPr>
            </w:pPr>
            <w:r>
              <w:rPr>
                <w:color w:val="000000"/>
                <w:sz w:val="20"/>
                <w:szCs w:val="20"/>
              </w:rPr>
              <w:t>505,000,000.00</w:t>
            </w:r>
          </w:p>
        </w:tc>
      </w:tr>
      <w:tr w:rsidR="005B2A50" w14:paraId="091D440C" w14:textId="77777777" w:rsidTr="005B2A50">
        <w:trPr>
          <w:trHeight w:val="330"/>
          <w:jc w:val="center"/>
        </w:trPr>
        <w:tc>
          <w:tcPr>
            <w:tcW w:w="2696" w:type="dxa"/>
            <w:tcBorders>
              <w:top w:val="nil"/>
              <w:left w:val="single" w:sz="8" w:space="0" w:color="A6A6A6"/>
              <w:bottom w:val="single" w:sz="8" w:space="0" w:color="A6A6A6"/>
              <w:right w:val="single" w:sz="8" w:space="0" w:color="A6A6A6"/>
            </w:tcBorders>
            <w:shd w:val="clear" w:color="auto" w:fill="CCCCCC"/>
            <w:vAlign w:val="center"/>
            <w:hideMark/>
          </w:tcPr>
          <w:p w14:paraId="5B039495" w14:textId="77777777" w:rsidR="005B2A50" w:rsidRDefault="005B2A50" w:rsidP="00411DA3">
            <w:pPr>
              <w:spacing w:line="360" w:lineRule="auto"/>
              <w:jc w:val="center"/>
              <w:rPr>
                <w:b/>
                <w:bCs/>
                <w:color w:val="000000"/>
                <w:sz w:val="20"/>
                <w:szCs w:val="20"/>
              </w:rPr>
            </w:pPr>
            <w:r>
              <w:rPr>
                <w:b/>
                <w:bCs/>
                <w:color w:val="000000"/>
                <w:sz w:val="20"/>
                <w:szCs w:val="20"/>
              </w:rPr>
              <w:t>TOTAL</w:t>
            </w:r>
          </w:p>
        </w:tc>
        <w:tc>
          <w:tcPr>
            <w:tcW w:w="1540" w:type="dxa"/>
            <w:tcBorders>
              <w:top w:val="nil"/>
              <w:left w:val="nil"/>
              <w:bottom w:val="single" w:sz="8" w:space="0" w:color="A6A6A6"/>
              <w:right w:val="single" w:sz="8" w:space="0" w:color="A6A6A6"/>
            </w:tcBorders>
            <w:shd w:val="clear" w:color="auto" w:fill="CCCCCC"/>
            <w:vAlign w:val="center"/>
            <w:hideMark/>
          </w:tcPr>
          <w:p w14:paraId="3367F75D" w14:textId="77777777" w:rsidR="005B2A50" w:rsidRDefault="005B2A50" w:rsidP="00411DA3">
            <w:pPr>
              <w:spacing w:line="254" w:lineRule="auto"/>
              <w:jc w:val="right"/>
              <w:rPr>
                <w:b/>
                <w:bCs/>
                <w:color w:val="000000"/>
                <w:sz w:val="20"/>
                <w:szCs w:val="20"/>
              </w:rPr>
            </w:pPr>
            <w:r>
              <w:rPr>
                <w:b/>
                <w:bCs/>
                <w:color w:val="000000"/>
                <w:sz w:val="20"/>
                <w:szCs w:val="20"/>
              </w:rPr>
              <w:t>1,526,526,749.00</w:t>
            </w:r>
          </w:p>
        </w:tc>
        <w:tc>
          <w:tcPr>
            <w:tcW w:w="1830" w:type="dxa"/>
            <w:tcBorders>
              <w:top w:val="nil"/>
              <w:left w:val="nil"/>
              <w:bottom w:val="single" w:sz="8" w:space="0" w:color="A6A6A6"/>
              <w:right w:val="single" w:sz="8" w:space="0" w:color="A6A6A6"/>
            </w:tcBorders>
            <w:shd w:val="clear" w:color="auto" w:fill="CCCCCC"/>
            <w:vAlign w:val="center"/>
            <w:hideMark/>
          </w:tcPr>
          <w:p w14:paraId="36897F74" w14:textId="77777777" w:rsidR="005B2A50" w:rsidRDefault="005B2A50" w:rsidP="00411DA3">
            <w:pPr>
              <w:spacing w:line="254" w:lineRule="auto"/>
              <w:jc w:val="right"/>
              <w:rPr>
                <w:b/>
                <w:bCs/>
                <w:color w:val="000000"/>
                <w:sz w:val="20"/>
                <w:szCs w:val="20"/>
              </w:rPr>
            </w:pPr>
            <w:r>
              <w:rPr>
                <w:b/>
                <w:bCs/>
                <w:color w:val="000000"/>
                <w:sz w:val="20"/>
                <w:szCs w:val="20"/>
              </w:rPr>
              <w:t>1,957,795,125.00</w:t>
            </w:r>
          </w:p>
        </w:tc>
        <w:tc>
          <w:tcPr>
            <w:tcW w:w="1862" w:type="dxa"/>
            <w:tcBorders>
              <w:top w:val="nil"/>
              <w:left w:val="nil"/>
              <w:bottom w:val="single" w:sz="8" w:space="0" w:color="A6A6A6"/>
              <w:right w:val="single" w:sz="8" w:space="0" w:color="A6A6A6"/>
            </w:tcBorders>
            <w:shd w:val="clear" w:color="auto" w:fill="CCCCCC"/>
            <w:vAlign w:val="center"/>
            <w:hideMark/>
          </w:tcPr>
          <w:p w14:paraId="53EB68B8" w14:textId="77777777" w:rsidR="005B2A50" w:rsidRDefault="005B2A50" w:rsidP="00411DA3">
            <w:pPr>
              <w:spacing w:line="254" w:lineRule="auto"/>
              <w:jc w:val="right"/>
              <w:rPr>
                <w:b/>
                <w:bCs/>
                <w:color w:val="000000"/>
                <w:sz w:val="20"/>
                <w:szCs w:val="20"/>
              </w:rPr>
            </w:pPr>
            <w:r>
              <w:rPr>
                <w:b/>
                <w:bCs/>
                <w:color w:val="000000"/>
                <w:sz w:val="20"/>
                <w:szCs w:val="20"/>
              </w:rPr>
              <w:t>1,957,795,125.00</w:t>
            </w:r>
          </w:p>
        </w:tc>
      </w:tr>
    </w:tbl>
    <w:p w14:paraId="42C834BC" w14:textId="77777777" w:rsidR="005B2A50" w:rsidRDefault="005B2A50" w:rsidP="005B2A50">
      <w:pPr>
        <w:spacing w:after="200" w:line="360" w:lineRule="auto"/>
        <w:jc w:val="center"/>
        <w:rPr>
          <w:rFonts w:eastAsia="Calibri"/>
          <w:b/>
          <w:sz w:val="20"/>
          <w:szCs w:val="20"/>
        </w:rPr>
      </w:pPr>
    </w:p>
    <w:p w14:paraId="159BE8DD" w14:textId="77777777" w:rsidR="005B2A50" w:rsidRDefault="005B2A50" w:rsidP="005B2A50">
      <w:pPr>
        <w:spacing w:after="200" w:line="360" w:lineRule="auto"/>
        <w:jc w:val="center"/>
        <w:rPr>
          <w:rFonts w:eastAsia="Calibri"/>
          <w:b/>
          <w:sz w:val="20"/>
          <w:szCs w:val="20"/>
        </w:rPr>
      </w:pPr>
    </w:p>
    <w:p w14:paraId="19413497" w14:textId="77777777" w:rsidR="005B2A50" w:rsidRDefault="005B2A50" w:rsidP="005B2A50">
      <w:pPr>
        <w:spacing w:after="200" w:line="360" w:lineRule="auto"/>
        <w:jc w:val="center"/>
        <w:rPr>
          <w:rFonts w:eastAsia="Calibri"/>
          <w:b/>
          <w:sz w:val="20"/>
          <w:szCs w:val="20"/>
        </w:rPr>
      </w:pPr>
    </w:p>
    <w:p w14:paraId="498F6E7E" w14:textId="77777777" w:rsidR="009C37B3" w:rsidRDefault="009C37B3" w:rsidP="009C37B3">
      <w:pPr>
        <w:spacing w:after="200" w:line="360" w:lineRule="auto"/>
        <w:jc w:val="center"/>
        <w:rPr>
          <w:rFonts w:eastAsia="Calibri"/>
          <w:b/>
          <w:sz w:val="20"/>
          <w:szCs w:val="20"/>
        </w:rPr>
      </w:pPr>
    </w:p>
    <w:sectPr w:rsidR="009C37B3" w:rsidSect="00F7063E">
      <w:footerReference w:type="even" r:id="rId36"/>
      <w:footerReference w:type="default" r:id="rId37"/>
      <w:pgSz w:w="12240" w:h="15840"/>
      <w:pgMar w:top="2835" w:right="851" w:bottom="1242" w:left="3232"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36A8B" w14:textId="77777777" w:rsidR="00933F7B" w:rsidRDefault="00933F7B">
      <w:r>
        <w:separator/>
      </w:r>
    </w:p>
  </w:endnote>
  <w:endnote w:type="continuationSeparator" w:id="0">
    <w:p w14:paraId="6FBFD419" w14:textId="77777777" w:rsidR="00933F7B" w:rsidRDefault="00933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WenQuanYi Micro Hei">
    <w:altName w:val="MS Gothic"/>
    <w:charset w:val="80"/>
    <w:family w:val="auto"/>
    <w:pitch w:val="variable"/>
  </w:font>
  <w:font w:name="Lohit Hindi">
    <w:altName w:val="MS Gothic"/>
    <w:charset w:val="8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68D9" w14:textId="77777777" w:rsidR="00282D76" w:rsidRDefault="00282D7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5B0CE5" w14:textId="77777777" w:rsidR="00282D76" w:rsidRDefault="00282D76">
    <w:pPr>
      <w:pStyle w:val="Piedepgina"/>
      <w:ind w:right="360"/>
    </w:pPr>
  </w:p>
  <w:p w14:paraId="217F9001" w14:textId="77777777" w:rsidR="00282D76" w:rsidRDefault="00282D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89B88" w14:textId="75CEDFFF" w:rsidR="00282D76" w:rsidRDefault="00282D76">
    <w:pPr>
      <w:pStyle w:val="Piedepgina"/>
      <w:framePr w:wrap="around" w:vAnchor="text" w:hAnchor="margin" w:xAlign="right" w:y="1"/>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4B3C0F">
      <w:rPr>
        <w:rStyle w:val="Nmerodepgina"/>
        <w:rFonts w:ascii="Arial" w:hAnsi="Arial" w:cs="Arial"/>
        <w:noProof/>
      </w:rPr>
      <w:t>49</w:t>
    </w:r>
    <w:r>
      <w:rPr>
        <w:rStyle w:val="Nmerodepgina"/>
        <w:rFonts w:ascii="Arial" w:hAnsi="Arial" w:cs="Arial"/>
      </w:rPr>
      <w:fldChar w:fldCharType="end"/>
    </w:r>
  </w:p>
  <w:p w14:paraId="29639736" w14:textId="77777777" w:rsidR="00282D76" w:rsidRDefault="00282D76">
    <w:pPr>
      <w:pStyle w:val="Piedepgina"/>
      <w:ind w:right="360"/>
    </w:pPr>
  </w:p>
  <w:p w14:paraId="7264CF5E" w14:textId="77777777" w:rsidR="00282D76" w:rsidRDefault="00282D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B36CC" w14:textId="77777777" w:rsidR="00933F7B" w:rsidRDefault="00933F7B">
      <w:r>
        <w:separator/>
      </w:r>
    </w:p>
  </w:footnote>
  <w:footnote w:type="continuationSeparator" w:id="0">
    <w:p w14:paraId="2EE2E674" w14:textId="77777777" w:rsidR="00933F7B" w:rsidRDefault="00933F7B">
      <w:r>
        <w:continuationSeparator/>
      </w:r>
    </w:p>
  </w:footnote>
  <w:footnote w:id="1">
    <w:p w14:paraId="2674E44E" w14:textId="77777777" w:rsidR="00282D76" w:rsidRDefault="00282D76" w:rsidP="00CE2445">
      <w:pPr>
        <w:pStyle w:val="Textonotapie"/>
        <w:rPr>
          <w:sz w:val="16"/>
        </w:rPr>
      </w:pPr>
      <w:r w:rsidRPr="008D5C06">
        <w:rPr>
          <w:rStyle w:val="Refdenotaalpie"/>
          <w:b/>
          <w:sz w:val="16"/>
        </w:rPr>
        <w:footnoteRef/>
      </w:r>
      <w:r w:rsidRPr="008D5C06">
        <w:rPr>
          <w:sz w:val="16"/>
        </w:rPr>
        <w:t xml:space="preserve"> Valuaciones Actuariales del Norte, S.C. Consultoría Actuarial.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1ED221F"/>
    <w:multiLevelType w:val="hybridMultilevel"/>
    <w:tmpl w:val="540A89C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B1B6402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400DC6"/>
    <w:multiLevelType w:val="hybridMultilevel"/>
    <w:tmpl w:val="7D8834C6"/>
    <w:lvl w:ilvl="0" w:tplc="12CA27D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7643D5"/>
    <w:multiLevelType w:val="hybridMultilevel"/>
    <w:tmpl w:val="83469D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30943"/>
    <w:multiLevelType w:val="hybridMultilevel"/>
    <w:tmpl w:val="169E0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3E78FA"/>
    <w:multiLevelType w:val="hybridMultilevel"/>
    <w:tmpl w:val="3BC8C926"/>
    <w:lvl w:ilvl="0" w:tplc="442E08E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52668AC"/>
    <w:multiLevelType w:val="hybridMultilevel"/>
    <w:tmpl w:val="C5DE84E8"/>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73C0663"/>
    <w:multiLevelType w:val="hybridMultilevel"/>
    <w:tmpl w:val="82CC40C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C900253"/>
    <w:multiLevelType w:val="hybridMultilevel"/>
    <w:tmpl w:val="92843B2E"/>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3C1B82"/>
    <w:multiLevelType w:val="hybridMultilevel"/>
    <w:tmpl w:val="4D763F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6751C0A"/>
    <w:multiLevelType w:val="hybridMultilevel"/>
    <w:tmpl w:val="BDEA5C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3C82FE9"/>
    <w:multiLevelType w:val="hybridMultilevel"/>
    <w:tmpl w:val="7F7C55D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6ADB2D86"/>
    <w:multiLevelType w:val="hybridMultilevel"/>
    <w:tmpl w:val="4B569FBC"/>
    <w:lvl w:ilvl="0" w:tplc="E2CAEB70">
      <w:start w:val="3"/>
      <w:numFmt w:val="upperRoman"/>
      <w:lvlText w:val="%1."/>
      <w:lvlJc w:val="left"/>
      <w:pPr>
        <w:ind w:left="1069"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F87750"/>
    <w:multiLevelType w:val="hybridMultilevel"/>
    <w:tmpl w:val="0CB4A5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026661"/>
    <w:multiLevelType w:val="hybridMultilevel"/>
    <w:tmpl w:val="C10EBFD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0F">
      <w:start w:val="1"/>
      <w:numFmt w:val="decimal"/>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FC07FB"/>
    <w:multiLevelType w:val="hybridMultilevel"/>
    <w:tmpl w:val="9D4A9E34"/>
    <w:lvl w:ilvl="0" w:tplc="12A82AF2">
      <w:start w:val="1"/>
      <w:numFmt w:val="decimal"/>
      <w:lvlText w:val="II.%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6A182C"/>
    <w:multiLevelType w:val="hybridMultilevel"/>
    <w:tmpl w:val="044E981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3"/>
  </w:num>
  <w:num w:numId="4">
    <w:abstractNumId w:val="9"/>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lvlOverride w:ilvl="2"/>
    <w:lvlOverride w:ilvl="3"/>
    <w:lvlOverride w:ilvl="4"/>
    <w:lvlOverride w:ilvl="5"/>
    <w:lvlOverride w:ilvl="6"/>
    <w:lvlOverride w:ilvl="7"/>
    <w:lvlOverride w:ilv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lvlOverride w:ilvl="2"/>
    <w:lvlOverride w:ilvl="3"/>
    <w:lvlOverride w:ilvl="4"/>
    <w:lvlOverride w:ilvl="5"/>
    <w:lvlOverride w:ilvl="6"/>
    <w:lvlOverride w:ilvl="7"/>
    <w:lvlOverride w:ilvl="8"/>
  </w:num>
  <w:num w:numId="11">
    <w:abstractNumId w:val="3"/>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2"/>
  </w:num>
  <w:num w:numId="16">
    <w:abstractNumId w:val="16"/>
  </w:num>
  <w:num w:numId="17">
    <w:abstractNumId w:val="4"/>
  </w:num>
  <w:num w:numId="18">
    <w:abstractNumId w:val="10"/>
  </w:num>
  <w:num w:numId="19">
    <w:abstractNumId w:val="3"/>
  </w:num>
  <w:num w:numId="20">
    <w:abstractNumId w:val="15"/>
  </w:num>
  <w:num w:numId="2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0EF"/>
    <w:rsid w:val="0000030A"/>
    <w:rsid w:val="00000FA7"/>
    <w:rsid w:val="000016D4"/>
    <w:rsid w:val="00001E51"/>
    <w:rsid w:val="00003668"/>
    <w:rsid w:val="00003E69"/>
    <w:rsid w:val="00004492"/>
    <w:rsid w:val="00005E9A"/>
    <w:rsid w:val="00005EEF"/>
    <w:rsid w:val="000063F6"/>
    <w:rsid w:val="0000685C"/>
    <w:rsid w:val="00006F88"/>
    <w:rsid w:val="000072AB"/>
    <w:rsid w:val="000074C4"/>
    <w:rsid w:val="000077C3"/>
    <w:rsid w:val="000101E2"/>
    <w:rsid w:val="0001044C"/>
    <w:rsid w:val="000107BD"/>
    <w:rsid w:val="00010C6E"/>
    <w:rsid w:val="00010E5A"/>
    <w:rsid w:val="000112AE"/>
    <w:rsid w:val="00011FEF"/>
    <w:rsid w:val="0001293C"/>
    <w:rsid w:val="00014202"/>
    <w:rsid w:val="000144A5"/>
    <w:rsid w:val="000146F1"/>
    <w:rsid w:val="00014E2C"/>
    <w:rsid w:val="00015522"/>
    <w:rsid w:val="000164F7"/>
    <w:rsid w:val="00016B9D"/>
    <w:rsid w:val="00016F5C"/>
    <w:rsid w:val="000206DD"/>
    <w:rsid w:val="00021E5F"/>
    <w:rsid w:val="0002266C"/>
    <w:rsid w:val="00022F56"/>
    <w:rsid w:val="000230E7"/>
    <w:rsid w:val="00023C9E"/>
    <w:rsid w:val="00024051"/>
    <w:rsid w:val="0002434B"/>
    <w:rsid w:val="000243FF"/>
    <w:rsid w:val="000249C5"/>
    <w:rsid w:val="00025397"/>
    <w:rsid w:val="00025734"/>
    <w:rsid w:val="00025F64"/>
    <w:rsid w:val="000269AE"/>
    <w:rsid w:val="00026B01"/>
    <w:rsid w:val="00027340"/>
    <w:rsid w:val="00027687"/>
    <w:rsid w:val="000278F8"/>
    <w:rsid w:val="000278FB"/>
    <w:rsid w:val="00030E5A"/>
    <w:rsid w:val="00030F41"/>
    <w:rsid w:val="00030F48"/>
    <w:rsid w:val="00031372"/>
    <w:rsid w:val="00031482"/>
    <w:rsid w:val="0003195E"/>
    <w:rsid w:val="00031EAA"/>
    <w:rsid w:val="0003269E"/>
    <w:rsid w:val="00032945"/>
    <w:rsid w:val="00032997"/>
    <w:rsid w:val="000329CA"/>
    <w:rsid w:val="00032AD8"/>
    <w:rsid w:val="000332C8"/>
    <w:rsid w:val="00033F47"/>
    <w:rsid w:val="00034AAC"/>
    <w:rsid w:val="00035B46"/>
    <w:rsid w:val="00036390"/>
    <w:rsid w:val="00036443"/>
    <w:rsid w:val="00036CF5"/>
    <w:rsid w:val="00036EB0"/>
    <w:rsid w:val="00037244"/>
    <w:rsid w:val="0003793F"/>
    <w:rsid w:val="0004086F"/>
    <w:rsid w:val="00040FEE"/>
    <w:rsid w:val="00041251"/>
    <w:rsid w:val="0004185D"/>
    <w:rsid w:val="000419CB"/>
    <w:rsid w:val="00041C0F"/>
    <w:rsid w:val="00042618"/>
    <w:rsid w:val="00043A8D"/>
    <w:rsid w:val="000453AB"/>
    <w:rsid w:val="0004561E"/>
    <w:rsid w:val="0004563A"/>
    <w:rsid w:val="000457B8"/>
    <w:rsid w:val="00046154"/>
    <w:rsid w:val="000464D9"/>
    <w:rsid w:val="00046517"/>
    <w:rsid w:val="000465F6"/>
    <w:rsid w:val="00046FA9"/>
    <w:rsid w:val="0004781A"/>
    <w:rsid w:val="00047D6B"/>
    <w:rsid w:val="00050553"/>
    <w:rsid w:val="00051197"/>
    <w:rsid w:val="000514B9"/>
    <w:rsid w:val="00052956"/>
    <w:rsid w:val="000536DC"/>
    <w:rsid w:val="0005391A"/>
    <w:rsid w:val="00054E52"/>
    <w:rsid w:val="00055622"/>
    <w:rsid w:val="00055F2E"/>
    <w:rsid w:val="00056063"/>
    <w:rsid w:val="000605CD"/>
    <w:rsid w:val="000608E1"/>
    <w:rsid w:val="000617EA"/>
    <w:rsid w:val="00061F28"/>
    <w:rsid w:val="000636B0"/>
    <w:rsid w:val="00064B2F"/>
    <w:rsid w:val="00065C33"/>
    <w:rsid w:val="00066384"/>
    <w:rsid w:val="00066A03"/>
    <w:rsid w:val="00066F0B"/>
    <w:rsid w:val="0006789E"/>
    <w:rsid w:val="00067DA5"/>
    <w:rsid w:val="00067F11"/>
    <w:rsid w:val="00070181"/>
    <w:rsid w:val="00070774"/>
    <w:rsid w:val="000712BA"/>
    <w:rsid w:val="00071DE8"/>
    <w:rsid w:val="0007248C"/>
    <w:rsid w:val="00072717"/>
    <w:rsid w:val="000732EF"/>
    <w:rsid w:val="00073F8A"/>
    <w:rsid w:val="000742E4"/>
    <w:rsid w:val="00075E18"/>
    <w:rsid w:val="000760AB"/>
    <w:rsid w:val="00076254"/>
    <w:rsid w:val="00076CFA"/>
    <w:rsid w:val="00077375"/>
    <w:rsid w:val="000777E1"/>
    <w:rsid w:val="00077991"/>
    <w:rsid w:val="0008023A"/>
    <w:rsid w:val="00080C8A"/>
    <w:rsid w:val="00081031"/>
    <w:rsid w:val="000821A9"/>
    <w:rsid w:val="00083089"/>
    <w:rsid w:val="000836E3"/>
    <w:rsid w:val="00085747"/>
    <w:rsid w:val="00086492"/>
    <w:rsid w:val="000876A7"/>
    <w:rsid w:val="00087FC6"/>
    <w:rsid w:val="000902B8"/>
    <w:rsid w:val="00091905"/>
    <w:rsid w:val="00091A03"/>
    <w:rsid w:val="00091AA8"/>
    <w:rsid w:val="00092209"/>
    <w:rsid w:val="000926BC"/>
    <w:rsid w:val="000930D1"/>
    <w:rsid w:val="000949F0"/>
    <w:rsid w:val="00095070"/>
    <w:rsid w:val="000954E8"/>
    <w:rsid w:val="00095A1B"/>
    <w:rsid w:val="00096368"/>
    <w:rsid w:val="000964D7"/>
    <w:rsid w:val="00096732"/>
    <w:rsid w:val="000967F0"/>
    <w:rsid w:val="00097A4E"/>
    <w:rsid w:val="000A106B"/>
    <w:rsid w:val="000A177B"/>
    <w:rsid w:val="000A2328"/>
    <w:rsid w:val="000A27C1"/>
    <w:rsid w:val="000A2BD7"/>
    <w:rsid w:val="000A2F07"/>
    <w:rsid w:val="000A2FD9"/>
    <w:rsid w:val="000A3613"/>
    <w:rsid w:val="000A3C10"/>
    <w:rsid w:val="000A58D0"/>
    <w:rsid w:val="000A59C5"/>
    <w:rsid w:val="000A60F1"/>
    <w:rsid w:val="000A72EA"/>
    <w:rsid w:val="000A7D09"/>
    <w:rsid w:val="000B0026"/>
    <w:rsid w:val="000B0656"/>
    <w:rsid w:val="000B06A2"/>
    <w:rsid w:val="000B0F05"/>
    <w:rsid w:val="000B0FF2"/>
    <w:rsid w:val="000B1855"/>
    <w:rsid w:val="000B1865"/>
    <w:rsid w:val="000B200E"/>
    <w:rsid w:val="000B2A16"/>
    <w:rsid w:val="000B2C15"/>
    <w:rsid w:val="000B3142"/>
    <w:rsid w:val="000B4BED"/>
    <w:rsid w:val="000B64B4"/>
    <w:rsid w:val="000B6BAE"/>
    <w:rsid w:val="000B6E2A"/>
    <w:rsid w:val="000B7018"/>
    <w:rsid w:val="000B70CA"/>
    <w:rsid w:val="000B7AF1"/>
    <w:rsid w:val="000B7DD7"/>
    <w:rsid w:val="000C082B"/>
    <w:rsid w:val="000C0878"/>
    <w:rsid w:val="000C133F"/>
    <w:rsid w:val="000C142B"/>
    <w:rsid w:val="000C1466"/>
    <w:rsid w:val="000C230C"/>
    <w:rsid w:val="000C2C43"/>
    <w:rsid w:val="000C422C"/>
    <w:rsid w:val="000C4845"/>
    <w:rsid w:val="000C4DEF"/>
    <w:rsid w:val="000C6D37"/>
    <w:rsid w:val="000C786F"/>
    <w:rsid w:val="000C7F14"/>
    <w:rsid w:val="000D00BB"/>
    <w:rsid w:val="000D029F"/>
    <w:rsid w:val="000D03EA"/>
    <w:rsid w:val="000D227D"/>
    <w:rsid w:val="000D292C"/>
    <w:rsid w:val="000D2F46"/>
    <w:rsid w:val="000D4121"/>
    <w:rsid w:val="000D4505"/>
    <w:rsid w:val="000D48BE"/>
    <w:rsid w:val="000D4CB0"/>
    <w:rsid w:val="000D5B2A"/>
    <w:rsid w:val="000D5B2D"/>
    <w:rsid w:val="000D5CF0"/>
    <w:rsid w:val="000D686F"/>
    <w:rsid w:val="000D75EF"/>
    <w:rsid w:val="000E0407"/>
    <w:rsid w:val="000E0916"/>
    <w:rsid w:val="000E191D"/>
    <w:rsid w:val="000E1A2E"/>
    <w:rsid w:val="000E2407"/>
    <w:rsid w:val="000E2642"/>
    <w:rsid w:val="000E2BF7"/>
    <w:rsid w:val="000E3253"/>
    <w:rsid w:val="000E3EDA"/>
    <w:rsid w:val="000E4167"/>
    <w:rsid w:val="000E4844"/>
    <w:rsid w:val="000E506D"/>
    <w:rsid w:val="000E5260"/>
    <w:rsid w:val="000E6155"/>
    <w:rsid w:val="000E63DC"/>
    <w:rsid w:val="000E679D"/>
    <w:rsid w:val="000E6A24"/>
    <w:rsid w:val="000E6B68"/>
    <w:rsid w:val="000E6C28"/>
    <w:rsid w:val="000E6C2E"/>
    <w:rsid w:val="000E7443"/>
    <w:rsid w:val="000E7A2C"/>
    <w:rsid w:val="000E7BDF"/>
    <w:rsid w:val="000E7FCE"/>
    <w:rsid w:val="000F1429"/>
    <w:rsid w:val="000F2129"/>
    <w:rsid w:val="000F29B8"/>
    <w:rsid w:val="000F2F5E"/>
    <w:rsid w:val="000F2F9A"/>
    <w:rsid w:val="000F3D74"/>
    <w:rsid w:val="000F4267"/>
    <w:rsid w:val="000F4813"/>
    <w:rsid w:val="000F4B37"/>
    <w:rsid w:val="000F50CE"/>
    <w:rsid w:val="000F59F2"/>
    <w:rsid w:val="000F693B"/>
    <w:rsid w:val="000F7299"/>
    <w:rsid w:val="000F732D"/>
    <w:rsid w:val="000F7522"/>
    <w:rsid w:val="000F7599"/>
    <w:rsid w:val="000F7712"/>
    <w:rsid w:val="000F7840"/>
    <w:rsid w:val="000F7DBF"/>
    <w:rsid w:val="00100153"/>
    <w:rsid w:val="001006D7"/>
    <w:rsid w:val="00100924"/>
    <w:rsid w:val="00100D44"/>
    <w:rsid w:val="00101136"/>
    <w:rsid w:val="00101425"/>
    <w:rsid w:val="00101784"/>
    <w:rsid w:val="00101A28"/>
    <w:rsid w:val="00102539"/>
    <w:rsid w:val="00102796"/>
    <w:rsid w:val="0010294B"/>
    <w:rsid w:val="001037C8"/>
    <w:rsid w:val="00103A1C"/>
    <w:rsid w:val="00103E0C"/>
    <w:rsid w:val="001042E0"/>
    <w:rsid w:val="001054E2"/>
    <w:rsid w:val="001064D7"/>
    <w:rsid w:val="00106B6E"/>
    <w:rsid w:val="001078DE"/>
    <w:rsid w:val="00110428"/>
    <w:rsid w:val="001104EF"/>
    <w:rsid w:val="00110D17"/>
    <w:rsid w:val="00110DD7"/>
    <w:rsid w:val="00111E89"/>
    <w:rsid w:val="0011288E"/>
    <w:rsid w:val="00113204"/>
    <w:rsid w:val="00113DA7"/>
    <w:rsid w:val="00114166"/>
    <w:rsid w:val="0011434A"/>
    <w:rsid w:val="00114CC2"/>
    <w:rsid w:val="001155E9"/>
    <w:rsid w:val="001160D0"/>
    <w:rsid w:val="001160D6"/>
    <w:rsid w:val="00116B40"/>
    <w:rsid w:val="00117803"/>
    <w:rsid w:val="00117933"/>
    <w:rsid w:val="00117BB5"/>
    <w:rsid w:val="00120520"/>
    <w:rsid w:val="00121294"/>
    <w:rsid w:val="001215BA"/>
    <w:rsid w:val="00122CE6"/>
    <w:rsid w:val="001234C5"/>
    <w:rsid w:val="00123938"/>
    <w:rsid w:val="0012436C"/>
    <w:rsid w:val="0012456F"/>
    <w:rsid w:val="0012477B"/>
    <w:rsid w:val="00125023"/>
    <w:rsid w:val="0012505D"/>
    <w:rsid w:val="0012522F"/>
    <w:rsid w:val="00125402"/>
    <w:rsid w:val="00125A26"/>
    <w:rsid w:val="00125BC6"/>
    <w:rsid w:val="0012632B"/>
    <w:rsid w:val="00126B43"/>
    <w:rsid w:val="00126CF7"/>
    <w:rsid w:val="0012753B"/>
    <w:rsid w:val="0012754E"/>
    <w:rsid w:val="0012773A"/>
    <w:rsid w:val="0012798F"/>
    <w:rsid w:val="00127ABD"/>
    <w:rsid w:val="00127B7C"/>
    <w:rsid w:val="001316A7"/>
    <w:rsid w:val="00132DB7"/>
    <w:rsid w:val="00133215"/>
    <w:rsid w:val="00133AD1"/>
    <w:rsid w:val="001346C5"/>
    <w:rsid w:val="0013471A"/>
    <w:rsid w:val="00134C6F"/>
    <w:rsid w:val="00134E10"/>
    <w:rsid w:val="001368D7"/>
    <w:rsid w:val="00137EB1"/>
    <w:rsid w:val="00140548"/>
    <w:rsid w:val="001409B9"/>
    <w:rsid w:val="00140CF4"/>
    <w:rsid w:val="00141589"/>
    <w:rsid w:val="00141D80"/>
    <w:rsid w:val="00141EB9"/>
    <w:rsid w:val="001423E3"/>
    <w:rsid w:val="001425C5"/>
    <w:rsid w:val="001431C4"/>
    <w:rsid w:val="00143271"/>
    <w:rsid w:val="001436B1"/>
    <w:rsid w:val="001438AF"/>
    <w:rsid w:val="001442E8"/>
    <w:rsid w:val="001445BD"/>
    <w:rsid w:val="001446DA"/>
    <w:rsid w:val="0014472E"/>
    <w:rsid w:val="001449DD"/>
    <w:rsid w:val="001450FF"/>
    <w:rsid w:val="001451D3"/>
    <w:rsid w:val="00145B3A"/>
    <w:rsid w:val="0014604C"/>
    <w:rsid w:val="001470ED"/>
    <w:rsid w:val="001472B0"/>
    <w:rsid w:val="001474C9"/>
    <w:rsid w:val="0014757E"/>
    <w:rsid w:val="00147DF0"/>
    <w:rsid w:val="001505B5"/>
    <w:rsid w:val="00150716"/>
    <w:rsid w:val="00150A96"/>
    <w:rsid w:val="00150AEA"/>
    <w:rsid w:val="00151524"/>
    <w:rsid w:val="00153766"/>
    <w:rsid w:val="00153B83"/>
    <w:rsid w:val="0015418A"/>
    <w:rsid w:val="0015443B"/>
    <w:rsid w:val="00155340"/>
    <w:rsid w:val="001553CE"/>
    <w:rsid w:val="00156496"/>
    <w:rsid w:val="0015650C"/>
    <w:rsid w:val="001565AC"/>
    <w:rsid w:val="00157B6F"/>
    <w:rsid w:val="00157B86"/>
    <w:rsid w:val="00157C3C"/>
    <w:rsid w:val="00160102"/>
    <w:rsid w:val="0016047E"/>
    <w:rsid w:val="00160920"/>
    <w:rsid w:val="00160B30"/>
    <w:rsid w:val="00160BAB"/>
    <w:rsid w:val="0016106E"/>
    <w:rsid w:val="00161E0F"/>
    <w:rsid w:val="00162070"/>
    <w:rsid w:val="00162501"/>
    <w:rsid w:val="00162DF8"/>
    <w:rsid w:val="00164D97"/>
    <w:rsid w:val="00164DE3"/>
    <w:rsid w:val="001656DC"/>
    <w:rsid w:val="00165784"/>
    <w:rsid w:val="00165AC4"/>
    <w:rsid w:val="00166652"/>
    <w:rsid w:val="001669CB"/>
    <w:rsid w:val="00167639"/>
    <w:rsid w:val="0016764B"/>
    <w:rsid w:val="00171068"/>
    <w:rsid w:val="00171807"/>
    <w:rsid w:val="00171F90"/>
    <w:rsid w:val="001721BC"/>
    <w:rsid w:val="00172593"/>
    <w:rsid w:val="00172C2E"/>
    <w:rsid w:val="00173664"/>
    <w:rsid w:val="00173694"/>
    <w:rsid w:val="001736D9"/>
    <w:rsid w:val="00174789"/>
    <w:rsid w:val="001761D9"/>
    <w:rsid w:val="00176E02"/>
    <w:rsid w:val="0017721D"/>
    <w:rsid w:val="001774D1"/>
    <w:rsid w:val="00177532"/>
    <w:rsid w:val="0018070B"/>
    <w:rsid w:val="00181573"/>
    <w:rsid w:val="001821CC"/>
    <w:rsid w:val="00182E26"/>
    <w:rsid w:val="00183BD1"/>
    <w:rsid w:val="001840B4"/>
    <w:rsid w:val="00184281"/>
    <w:rsid w:val="001843BA"/>
    <w:rsid w:val="001848FE"/>
    <w:rsid w:val="00184C2D"/>
    <w:rsid w:val="00185482"/>
    <w:rsid w:val="00185604"/>
    <w:rsid w:val="001856CF"/>
    <w:rsid w:val="00185AE2"/>
    <w:rsid w:val="001867AF"/>
    <w:rsid w:val="00186F3F"/>
    <w:rsid w:val="00187141"/>
    <w:rsid w:val="0018794B"/>
    <w:rsid w:val="001910EA"/>
    <w:rsid w:val="0019118A"/>
    <w:rsid w:val="0019123F"/>
    <w:rsid w:val="00191340"/>
    <w:rsid w:val="00191766"/>
    <w:rsid w:val="0019184C"/>
    <w:rsid w:val="001924EF"/>
    <w:rsid w:val="0019272D"/>
    <w:rsid w:val="00192790"/>
    <w:rsid w:val="00192D12"/>
    <w:rsid w:val="00193BEB"/>
    <w:rsid w:val="00194146"/>
    <w:rsid w:val="001943B4"/>
    <w:rsid w:val="00194425"/>
    <w:rsid w:val="0019443B"/>
    <w:rsid w:val="001945FF"/>
    <w:rsid w:val="00195777"/>
    <w:rsid w:val="001966DD"/>
    <w:rsid w:val="0019680B"/>
    <w:rsid w:val="00196EDB"/>
    <w:rsid w:val="00197376"/>
    <w:rsid w:val="00197540"/>
    <w:rsid w:val="00197F9E"/>
    <w:rsid w:val="001A04E3"/>
    <w:rsid w:val="001A1203"/>
    <w:rsid w:val="001A1DCA"/>
    <w:rsid w:val="001A232A"/>
    <w:rsid w:val="001A27DB"/>
    <w:rsid w:val="001A435B"/>
    <w:rsid w:val="001A4FCA"/>
    <w:rsid w:val="001A5C69"/>
    <w:rsid w:val="001A5DB6"/>
    <w:rsid w:val="001A62B6"/>
    <w:rsid w:val="001A641E"/>
    <w:rsid w:val="001A6658"/>
    <w:rsid w:val="001A67F3"/>
    <w:rsid w:val="001A7C12"/>
    <w:rsid w:val="001A7D91"/>
    <w:rsid w:val="001A7E2B"/>
    <w:rsid w:val="001B00F7"/>
    <w:rsid w:val="001B122A"/>
    <w:rsid w:val="001B1429"/>
    <w:rsid w:val="001B1CA5"/>
    <w:rsid w:val="001B29D1"/>
    <w:rsid w:val="001B2AA1"/>
    <w:rsid w:val="001B2AA8"/>
    <w:rsid w:val="001B2F9E"/>
    <w:rsid w:val="001B3D7F"/>
    <w:rsid w:val="001B4384"/>
    <w:rsid w:val="001B49F9"/>
    <w:rsid w:val="001B4B22"/>
    <w:rsid w:val="001B4E57"/>
    <w:rsid w:val="001B50CC"/>
    <w:rsid w:val="001B5658"/>
    <w:rsid w:val="001B5C8A"/>
    <w:rsid w:val="001B673F"/>
    <w:rsid w:val="001B6F5D"/>
    <w:rsid w:val="001B7DED"/>
    <w:rsid w:val="001B7F4A"/>
    <w:rsid w:val="001C0235"/>
    <w:rsid w:val="001C05DD"/>
    <w:rsid w:val="001C0D71"/>
    <w:rsid w:val="001C1847"/>
    <w:rsid w:val="001C1D47"/>
    <w:rsid w:val="001C1F0C"/>
    <w:rsid w:val="001C2C17"/>
    <w:rsid w:val="001C32E0"/>
    <w:rsid w:val="001C354D"/>
    <w:rsid w:val="001C3914"/>
    <w:rsid w:val="001C3DBE"/>
    <w:rsid w:val="001C4307"/>
    <w:rsid w:val="001C438A"/>
    <w:rsid w:val="001C4566"/>
    <w:rsid w:val="001C56E5"/>
    <w:rsid w:val="001C5727"/>
    <w:rsid w:val="001C58E1"/>
    <w:rsid w:val="001C5924"/>
    <w:rsid w:val="001C5C18"/>
    <w:rsid w:val="001C5FBA"/>
    <w:rsid w:val="001C66F8"/>
    <w:rsid w:val="001C6DD1"/>
    <w:rsid w:val="001C72CC"/>
    <w:rsid w:val="001D080D"/>
    <w:rsid w:val="001D0B07"/>
    <w:rsid w:val="001D0CA5"/>
    <w:rsid w:val="001D0D1B"/>
    <w:rsid w:val="001D0DC5"/>
    <w:rsid w:val="001D0DEF"/>
    <w:rsid w:val="001D143A"/>
    <w:rsid w:val="001D1953"/>
    <w:rsid w:val="001D2CE4"/>
    <w:rsid w:val="001D4C99"/>
    <w:rsid w:val="001D685A"/>
    <w:rsid w:val="001D6A61"/>
    <w:rsid w:val="001D7068"/>
    <w:rsid w:val="001E16F7"/>
    <w:rsid w:val="001E17CD"/>
    <w:rsid w:val="001E1C15"/>
    <w:rsid w:val="001E2413"/>
    <w:rsid w:val="001E29FA"/>
    <w:rsid w:val="001E2A7F"/>
    <w:rsid w:val="001E32AD"/>
    <w:rsid w:val="001E34A0"/>
    <w:rsid w:val="001E3F66"/>
    <w:rsid w:val="001E4424"/>
    <w:rsid w:val="001E44B0"/>
    <w:rsid w:val="001E44E5"/>
    <w:rsid w:val="001E4992"/>
    <w:rsid w:val="001E4CD6"/>
    <w:rsid w:val="001E503A"/>
    <w:rsid w:val="001E6F9F"/>
    <w:rsid w:val="001F0EEF"/>
    <w:rsid w:val="001F1111"/>
    <w:rsid w:val="001F1E48"/>
    <w:rsid w:val="001F1E88"/>
    <w:rsid w:val="001F2509"/>
    <w:rsid w:val="001F33B7"/>
    <w:rsid w:val="001F43AC"/>
    <w:rsid w:val="001F43B9"/>
    <w:rsid w:val="001F4BD1"/>
    <w:rsid w:val="001F5976"/>
    <w:rsid w:val="001F5A5A"/>
    <w:rsid w:val="001F61B1"/>
    <w:rsid w:val="001F6FE0"/>
    <w:rsid w:val="001F71C7"/>
    <w:rsid w:val="0020124E"/>
    <w:rsid w:val="00201309"/>
    <w:rsid w:val="002014D7"/>
    <w:rsid w:val="00201903"/>
    <w:rsid w:val="00201EC9"/>
    <w:rsid w:val="00202597"/>
    <w:rsid w:val="0020280E"/>
    <w:rsid w:val="00202AAD"/>
    <w:rsid w:val="00202AAF"/>
    <w:rsid w:val="00202B2E"/>
    <w:rsid w:val="00202E8B"/>
    <w:rsid w:val="00203113"/>
    <w:rsid w:val="002038AC"/>
    <w:rsid w:val="00203CA3"/>
    <w:rsid w:val="00204070"/>
    <w:rsid w:val="00204CCC"/>
    <w:rsid w:val="00205676"/>
    <w:rsid w:val="00205787"/>
    <w:rsid w:val="002060D2"/>
    <w:rsid w:val="00206500"/>
    <w:rsid w:val="002067FF"/>
    <w:rsid w:val="00206B1F"/>
    <w:rsid w:val="0020741B"/>
    <w:rsid w:val="00210BF6"/>
    <w:rsid w:val="00211106"/>
    <w:rsid w:val="002115A5"/>
    <w:rsid w:val="002115AE"/>
    <w:rsid w:val="00211D4A"/>
    <w:rsid w:val="0021295A"/>
    <w:rsid w:val="00214A10"/>
    <w:rsid w:val="00214CE4"/>
    <w:rsid w:val="00216141"/>
    <w:rsid w:val="002166D5"/>
    <w:rsid w:val="00216E69"/>
    <w:rsid w:val="002202EA"/>
    <w:rsid w:val="00220435"/>
    <w:rsid w:val="00220716"/>
    <w:rsid w:val="00220E77"/>
    <w:rsid w:val="002221B6"/>
    <w:rsid w:val="00222EA1"/>
    <w:rsid w:val="00223139"/>
    <w:rsid w:val="002234E7"/>
    <w:rsid w:val="0022376C"/>
    <w:rsid w:val="00223AC9"/>
    <w:rsid w:val="00223EE7"/>
    <w:rsid w:val="002240A6"/>
    <w:rsid w:val="00224146"/>
    <w:rsid w:val="00225A52"/>
    <w:rsid w:val="00225BC7"/>
    <w:rsid w:val="00225BDB"/>
    <w:rsid w:val="002261B0"/>
    <w:rsid w:val="00227080"/>
    <w:rsid w:val="0022760E"/>
    <w:rsid w:val="0023091F"/>
    <w:rsid w:val="00230B99"/>
    <w:rsid w:val="00230CDA"/>
    <w:rsid w:val="00231006"/>
    <w:rsid w:val="002314A7"/>
    <w:rsid w:val="00231973"/>
    <w:rsid w:val="00231A4F"/>
    <w:rsid w:val="00231DE8"/>
    <w:rsid w:val="00231E95"/>
    <w:rsid w:val="002321E1"/>
    <w:rsid w:val="00232341"/>
    <w:rsid w:val="0023266B"/>
    <w:rsid w:val="00233057"/>
    <w:rsid w:val="00234E40"/>
    <w:rsid w:val="0023699E"/>
    <w:rsid w:val="002369D8"/>
    <w:rsid w:val="002401B1"/>
    <w:rsid w:val="002402C8"/>
    <w:rsid w:val="00240B19"/>
    <w:rsid w:val="0024145B"/>
    <w:rsid w:val="00245236"/>
    <w:rsid w:val="002452A1"/>
    <w:rsid w:val="00246255"/>
    <w:rsid w:val="00246656"/>
    <w:rsid w:val="00246BE7"/>
    <w:rsid w:val="002472EF"/>
    <w:rsid w:val="00247389"/>
    <w:rsid w:val="00247996"/>
    <w:rsid w:val="0025024A"/>
    <w:rsid w:val="0025070E"/>
    <w:rsid w:val="00251314"/>
    <w:rsid w:val="00251C73"/>
    <w:rsid w:val="00251DDB"/>
    <w:rsid w:val="00251E15"/>
    <w:rsid w:val="00252236"/>
    <w:rsid w:val="00252C4F"/>
    <w:rsid w:val="002531FD"/>
    <w:rsid w:val="00253B00"/>
    <w:rsid w:val="00253DF4"/>
    <w:rsid w:val="002542AF"/>
    <w:rsid w:val="00254688"/>
    <w:rsid w:val="00254D8E"/>
    <w:rsid w:val="0025771B"/>
    <w:rsid w:val="002579A3"/>
    <w:rsid w:val="00257CE0"/>
    <w:rsid w:val="00260010"/>
    <w:rsid w:val="00260FDC"/>
    <w:rsid w:val="0026128E"/>
    <w:rsid w:val="002614AF"/>
    <w:rsid w:val="002619D8"/>
    <w:rsid w:val="00262475"/>
    <w:rsid w:val="00262898"/>
    <w:rsid w:val="002635C1"/>
    <w:rsid w:val="0026375E"/>
    <w:rsid w:val="002639DF"/>
    <w:rsid w:val="00263D39"/>
    <w:rsid w:val="00264952"/>
    <w:rsid w:val="00264F91"/>
    <w:rsid w:val="00265041"/>
    <w:rsid w:val="0026626B"/>
    <w:rsid w:val="00266647"/>
    <w:rsid w:val="0026666D"/>
    <w:rsid w:val="002667E7"/>
    <w:rsid w:val="00266834"/>
    <w:rsid w:val="0026749A"/>
    <w:rsid w:val="00267CD5"/>
    <w:rsid w:val="0027096B"/>
    <w:rsid w:val="00270DD8"/>
    <w:rsid w:val="00270F24"/>
    <w:rsid w:val="0027197C"/>
    <w:rsid w:val="00271A03"/>
    <w:rsid w:val="002724FD"/>
    <w:rsid w:val="002727EE"/>
    <w:rsid w:val="00273F1F"/>
    <w:rsid w:val="0027469B"/>
    <w:rsid w:val="00274D7C"/>
    <w:rsid w:val="002754E8"/>
    <w:rsid w:val="00275788"/>
    <w:rsid w:val="00275D6A"/>
    <w:rsid w:val="00276774"/>
    <w:rsid w:val="00277C18"/>
    <w:rsid w:val="002807C0"/>
    <w:rsid w:val="002809BA"/>
    <w:rsid w:val="0028184E"/>
    <w:rsid w:val="0028284D"/>
    <w:rsid w:val="00282D76"/>
    <w:rsid w:val="00282DD4"/>
    <w:rsid w:val="0028331E"/>
    <w:rsid w:val="002839BB"/>
    <w:rsid w:val="00283EB6"/>
    <w:rsid w:val="00284AD2"/>
    <w:rsid w:val="00284BA6"/>
    <w:rsid w:val="00284F9C"/>
    <w:rsid w:val="00285156"/>
    <w:rsid w:val="00285340"/>
    <w:rsid w:val="002856F8"/>
    <w:rsid w:val="0028641D"/>
    <w:rsid w:val="00286C4E"/>
    <w:rsid w:val="002875CA"/>
    <w:rsid w:val="00287900"/>
    <w:rsid w:val="00287A04"/>
    <w:rsid w:val="002907C3"/>
    <w:rsid w:val="00290E41"/>
    <w:rsid w:val="00291C85"/>
    <w:rsid w:val="00291F3E"/>
    <w:rsid w:val="00292A37"/>
    <w:rsid w:val="00292CD6"/>
    <w:rsid w:val="00292D1B"/>
    <w:rsid w:val="0029391C"/>
    <w:rsid w:val="00293FBF"/>
    <w:rsid w:val="002940F9"/>
    <w:rsid w:val="00294C20"/>
    <w:rsid w:val="00295A11"/>
    <w:rsid w:val="00295A1A"/>
    <w:rsid w:val="0029654D"/>
    <w:rsid w:val="0029696F"/>
    <w:rsid w:val="00296A49"/>
    <w:rsid w:val="00296A5C"/>
    <w:rsid w:val="00296B0E"/>
    <w:rsid w:val="0029771B"/>
    <w:rsid w:val="002A08C5"/>
    <w:rsid w:val="002A08CE"/>
    <w:rsid w:val="002A0B0A"/>
    <w:rsid w:val="002A0F7C"/>
    <w:rsid w:val="002A13FC"/>
    <w:rsid w:val="002A2A11"/>
    <w:rsid w:val="002A2DF5"/>
    <w:rsid w:val="002A329F"/>
    <w:rsid w:val="002A35C3"/>
    <w:rsid w:val="002A3AE8"/>
    <w:rsid w:val="002A400C"/>
    <w:rsid w:val="002A41F8"/>
    <w:rsid w:val="002A4E7E"/>
    <w:rsid w:val="002A5386"/>
    <w:rsid w:val="002A54F8"/>
    <w:rsid w:val="002A56DE"/>
    <w:rsid w:val="002A5F26"/>
    <w:rsid w:val="002A5FEB"/>
    <w:rsid w:val="002A6380"/>
    <w:rsid w:val="002A6692"/>
    <w:rsid w:val="002A66BB"/>
    <w:rsid w:val="002A6DF0"/>
    <w:rsid w:val="002A7475"/>
    <w:rsid w:val="002B029F"/>
    <w:rsid w:val="002B0B67"/>
    <w:rsid w:val="002B1655"/>
    <w:rsid w:val="002B168F"/>
    <w:rsid w:val="002B18DD"/>
    <w:rsid w:val="002B1C55"/>
    <w:rsid w:val="002B33B3"/>
    <w:rsid w:val="002B393A"/>
    <w:rsid w:val="002B3A24"/>
    <w:rsid w:val="002B3D6A"/>
    <w:rsid w:val="002B405D"/>
    <w:rsid w:val="002B4150"/>
    <w:rsid w:val="002B4D4D"/>
    <w:rsid w:val="002B52B4"/>
    <w:rsid w:val="002B5906"/>
    <w:rsid w:val="002B65E4"/>
    <w:rsid w:val="002B6741"/>
    <w:rsid w:val="002B78D1"/>
    <w:rsid w:val="002B7CC2"/>
    <w:rsid w:val="002C0122"/>
    <w:rsid w:val="002C0F95"/>
    <w:rsid w:val="002C126F"/>
    <w:rsid w:val="002C1CBA"/>
    <w:rsid w:val="002C1F9C"/>
    <w:rsid w:val="002C2247"/>
    <w:rsid w:val="002C3DD0"/>
    <w:rsid w:val="002C4404"/>
    <w:rsid w:val="002C44A4"/>
    <w:rsid w:val="002C5418"/>
    <w:rsid w:val="002C6F22"/>
    <w:rsid w:val="002C7ABC"/>
    <w:rsid w:val="002C7B5A"/>
    <w:rsid w:val="002D0598"/>
    <w:rsid w:val="002D0CA8"/>
    <w:rsid w:val="002D1AAC"/>
    <w:rsid w:val="002D22CA"/>
    <w:rsid w:val="002D2B4A"/>
    <w:rsid w:val="002D2CB6"/>
    <w:rsid w:val="002D311B"/>
    <w:rsid w:val="002D3125"/>
    <w:rsid w:val="002D3571"/>
    <w:rsid w:val="002D396F"/>
    <w:rsid w:val="002D4203"/>
    <w:rsid w:val="002D46A1"/>
    <w:rsid w:val="002D56FF"/>
    <w:rsid w:val="002D6397"/>
    <w:rsid w:val="002D6C17"/>
    <w:rsid w:val="002D748E"/>
    <w:rsid w:val="002D784C"/>
    <w:rsid w:val="002E02DC"/>
    <w:rsid w:val="002E0BB4"/>
    <w:rsid w:val="002E0EA1"/>
    <w:rsid w:val="002E134C"/>
    <w:rsid w:val="002E1566"/>
    <w:rsid w:val="002E17A7"/>
    <w:rsid w:val="002E2358"/>
    <w:rsid w:val="002E368F"/>
    <w:rsid w:val="002E385E"/>
    <w:rsid w:val="002E398E"/>
    <w:rsid w:val="002E441F"/>
    <w:rsid w:val="002E4434"/>
    <w:rsid w:val="002E50CB"/>
    <w:rsid w:val="002E51BB"/>
    <w:rsid w:val="002E5CD0"/>
    <w:rsid w:val="002E5D7E"/>
    <w:rsid w:val="002E5DBB"/>
    <w:rsid w:val="002E6023"/>
    <w:rsid w:val="002E77A4"/>
    <w:rsid w:val="002E78E5"/>
    <w:rsid w:val="002E7E67"/>
    <w:rsid w:val="002F0231"/>
    <w:rsid w:val="002F0A6F"/>
    <w:rsid w:val="002F0F09"/>
    <w:rsid w:val="002F0FA0"/>
    <w:rsid w:val="002F107F"/>
    <w:rsid w:val="002F1DD8"/>
    <w:rsid w:val="002F2A18"/>
    <w:rsid w:val="002F2D11"/>
    <w:rsid w:val="002F3456"/>
    <w:rsid w:val="002F3769"/>
    <w:rsid w:val="002F3A5D"/>
    <w:rsid w:val="002F4347"/>
    <w:rsid w:val="002F4437"/>
    <w:rsid w:val="002F4EF8"/>
    <w:rsid w:val="002F4FDF"/>
    <w:rsid w:val="002F53FE"/>
    <w:rsid w:val="002F655F"/>
    <w:rsid w:val="00300F09"/>
    <w:rsid w:val="00300F32"/>
    <w:rsid w:val="003015E1"/>
    <w:rsid w:val="00301AE4"/>
    <w:rsid w:val="00301B67"/>
    <w:rsid w:val="003028D7"/>
    <w:rsid w:val="00303915"/>
    <w:rsid w:val="00304E9F"/>
    <w:rsid w:val="00305694"/>
    <w:rsid w:val="00305A4E"/>
    <w:rsid w:val="00305EED"/>
    <w:rsid w:val="003063BB"/>
    <w:rsid w:val="00306528"/>
    <w:rsid w:val="003066E9"/>
    <w:rsid w:val="00306A4A"/>
    <w:rsid w:val="00306F17"/>
    <w:rsid w:val="003072E3"/>
    <w:rsid w:val="0030742F"/>
    <w:rsid w:val="00307536"/>
    <w:rsid w:val="0030763E"/>
    <w:rsid w:val="00307DAF"/>
    <w:rsid w:val="00307EF1"/>
    <w:rsid w:val="00310184"/>
    <w:rsid w:val="0031173E"/>
    <w:rsid w:val="003117DB"/>
    <w:rsid w:val="003120D1"/>
    <w:rsid w:val="00312B6D"/>
    <w:rsid w:val="003136DA"/>
    <w:rsid w:val="0031372F"/>
    <w:rsid w:val="00313794"/>
    <w:rsid w:val="00313D08"/>
    <w:rsid w:val="00313F11"/>
    <w:rsid w:val="0031460C"/>
    <w:rsid w:val="00314E2F"/>
    <w:rsid w:val="00314E6B"/>
    <w:rsid w:val="0031620A"/>
    <w:rsid w:val="00316459"/>
    <w:rsid w:val="003176B7"/>
    <w:rsid w:val="00317F52"/>
    <w:rsid w:val="00320697"/>
    <w:rsid w:val="00320DEB"/>
    <w:rsid w:val="003210A3"/>
    <w:rsid w:val="003210E3"/>
    <w:rsid w:val="003211AE"/>
    <w:rsid w:val="0032292B"/>
    <w:rsid w:val="003229EB"/>
    <w:rsid w:val="00322D27"/>
    <w:rsid w:val="00323A54"/>
    <w:rsid w:val="00324A65"/>
    <w:rsid w:val="00324FA6"/>
    <w:rsid w:val="003253A4"/>
    <w:rsid w:val="0032565E"/>
    <w:rsid w:val="003259D1"/>
    <w:rsid w:val="00326D92"/>
    <w:rsid w:val="00326DB5"/>
    <w:rsid w:val="00327119"/>
    <w:rsid w:val="0032731A"/>
    <w:rsid w:val="00327D78"/>
    <w:rsid w:val="00327FE0"/>
    <w:rsid w:val="0033011C"/>
    <w:rsid w:val="00330AEA"/>
    <w:rsid w:val="003318BA"/>
    <w:rsid w:val="00331A01"/>
    <w:rsid w:val="00331A9A"/>
    <w:rsid w:val="00331CBF"/>
    <w:rsid w:val="0033201D"/>
    <w:rsid w:val="003327F9"/>
    <w:rsid w:val="00333CDE"/>
    <w:rsid w:val="0033422B"/>
    <w:rsid w:val="0033436D"/>
    <w:rsid w:val="00334525"/>
    <w:rsid w:val="00335A01"/>
    <w:rsid w:val="00335A81"/>
    <w:rsid w:val="00336200"/>
    <w:rsid w:val="00336C54"/>
    <w:rsid w:val="00337351"/>
    <w:rsid w:val="00337382"/>
    <w:rsid w:val="0033758B"/>
    <w:rsid w:val="00337F86"/>
    <w:rsid w:val="0034068B"/>
    <w:rsid w:val="00340A58"/>
    <w:rsid w:val="003411C7"/>
    <w:rsid w:val="00341655"/>
    <w:rsid w:val="00341B98"/>
    <w:rsid w:val="00341C9E"/>
    <w:rsid w:val="00341D97"/>
    <w:rsid w:val="00342ECD"/>
    <w:rsid w:val="00344227"/>
    <w:rsid w:val="00344447"/>
    <w:rsid w:val="003456A6"/>
    <w:rsid w:val="00345C0D"/>
    <w:rsid w:val="00345FFA"/>
    <w:rsid w:val="0034611F"/>
    <w:rsid w:val="003470E2"/>
    <w:rsid w:val="00347980"/>
    <w:rsid w:val="003500EF"/>
    <w:rsid w:val="003504AC"/>
    <w:rsid w:val="00350FEA"/>
    <w:rsid w:val="00351288"/>
    <w:rsid w:val="0035151F"/>
    <w:rsid w:val="00352A64"/>
    <w:rsid w:val="0035386F"/>
    <w:rsid w:val="00353AE2"/>
    <w:rsid w:val="00353E2E"/>
    <w:rsid w:val="00353E4E"/>
    <w:rsid w:val="00354098"/>
    <w:rsid w:val="00354D9C"/>
    <w:rsid w:val="0035564B"/>
    <w:rsid w:val="0035656F"/>
    <w:rsid w:val="00356FDE"/>
    <w:rsid w:val="00357D7D"/>
    <w:rsid w:val="003619FC"/>
    <w:rsid w:val="00361D0D"/>
    <w:rsid w:val="003623EF"/>
    <w:rsid w:val="0036347D"/>
    <w:rsid w:val="0036363A"/>
    <w:rsid w:val="00363A7C"/>
    <w:rsid w:val="00364757"/>
    <w:rsid w:val="00364966"/>
    <w:rsid w:val="00364F81"/>
    <w:rsid w:val="00365183"/>
    <w:rsid w:val="00365343"/>
    <w:rsid w:val="00365B70"/>
    <w:rsid w:val="00365F12"/>
    <w:rsid w:val="00366612"/>
    <w:rsid w:val="003666E6"/>
    <w:rsid w:val="0036707D"/>
    <w:rsid w:val="003678E7"/>
    <w:rsid w:val="00367C35"/>
    <w:rsid w:val="00367D5E"/>
    <w:rsid w:val="00367D7D"/>
    <w:rsid w:val="00367E6A"/>
    <w:rsid w:val="003704B3"/>
    <w:rsid w:val="00370686"/>
    <w:rsid w:val="00370707"/>
    <w:rsid w:val="0037168B"/>
    <w:rsid w:val="003724BE"/>
    <w:rsid w:val="00372C9F"/>
    <w:rsid w:val="00373075"/>
    <w:rsid w:val="003738B1"/>
    <w:rsid w:val="0037475C"/>
    <w:rsid w:val="00374DAA"/>
    <w:rsid w:val="00374F42"/>
    <w:rsid w:val="003769AB"/>
    <w:rsid w:val="00376A0B"/>
    <w:rsid w:val="00376B10"/>
    <w:rsid w:val="00376D5C"/>
    <w:rsid w:val="00377313"/>
    <w:rsid w:val="003800F7"/>
    <w:rsid w:val="00380285"/>
    <w:rsid w:val="003808E8"/>
    <w:rsid w:val="0038120E"/>
    <w:rsid w:val="0038191C"/>
    <w:rsid w:val="00381AA6"/>
    <w:rsid w:val="00382A2C"/>
    <w:rsid w:val="0038328F"/>
    <w:rsid w:val="00383401"/>
    <w:rsid w:val="0038398F"/>
    <w:rsid w:val="00383EA4"/>
    <w:rsid w:val="00384061"/>
    <w:rsid w:val="00384457"/>
    <w:rsid w:val="00384A4C"/>
    <w:rsid w:val="00384CB7"/>
    <w:rsid w:val="00385149"/>
    <w:rsid w:val="00385CA0"/>
    <w:rsid w:val="003860C6"/>
    <w:rsid w:val="003866DA"/>
    <w:rsid w:val="00386F57"/>
    <w:rsid w:val="00387294"/>
    <w:rsid w:val="00387723"/>
    <w:rsid w:val="003906D6"/>
    <w:rsid w:val="003914F6"/>
    <w:rsid w:val="00391B4E"/>
    <w:rsid w:val="003921DA"/>
    <w:rsid w:val="00392CB5"/>
    <w:rsid w:val="00393314"/>
    <w:rsid w:val="003935EC"/>
    <w:rsid w:val="00393B3F"/>
    <w:rsid w:val="003940AD"/>
    <w:rsid w:val="00394BDC"/>
    <w:rsid w:val="00394ED5"/>
    <w:rsid w:val="00396424"/>
    <w:rsid w:val="00396EBF"/>
    <w:rsid w:val="003974B7"/>
    <w:rsid w:val="003979B9"/>
    <w:rsid w:val="00397E0B"/>
    <w:rsid w:val="003A0738"/>
    <w:rsid w:val="003A19C3"/>
    <w:rsid w:val="003A1A14"/>
    <w:rsid w:val="003A1ABF"/>
    <w:rsid w:val="003A1CDB"/>
    <w:rsid w:val="003A1DF2"/>
    <w:rsid w:val="003A297A"/>
    <w:rsid w:val="003A2E92"/>
    <w:rsid w:val="003A3702"/>
    <w:rsid w:val="003A38E5"/>
    <w:rsid w:val="003A40F9"/>
    <w:rsid w:val="003A46BE"/>
    <w:rsid w:val="003A4B0A"/>
    <w:rsid w:val="003A4F1C"/>
    <w:rsid w:val="003A4F7C"/>
    <w:rsid w:val="003A4FFA"/>
    <w:rsid w:val="003A5147"/>
    <w:rsid w:val="003A7437"/>
    <w:rsid w:val="003A7F08"/>
    <w:rsid w:val="003B0175"/>
    <w:rsid w:val="003B03E9"/>
    <w:rsid w:val="003B0582"/>
    <w:rsid w:val="003B0BC0"/>
    <w:rsid w:val="003B0D2D"/>
    <w:rsid w:val="003B0D37"/>
    <w:rsid w:val="003B125A"/>
    <w:rsid w:val="003B21C0"/>
    <w:rsid w:val="003B2B20"/>
    <w:rsid w:val="003B2F1B"/>
    <w:rsid w:val="003B411B"/>
    <w:rsid w:val="003B4BDB"/>
    <w:rsid w:val="003B4EA3"/>
    <w:rsid w:val="003B78C5"/>
    <w:rsid w:val="003C0A8E"/>
    <w:rsid w:val="003C1170"/>
    <w:rsid w:val="003C12EE"/>
    <w:rsid w:val="003C1635"/>
    <w:rsid w:val="003C17D4"/>
    <w:rsid w:val="003C18FA"/>
    <w:rsid w:val="003C1D02"/>
    <w:rsid w:val="003C2498"/>
    <w:rsid w:val="003C3149"/>
    <w:rsid w:val="003C3992"/>
    <w:rsid w:val="003C3C15"/>
    <w:rsid w:val="003C3E9E"/>
    <w:rsid w:val="003C4D09"/>
    <w:rsid w:val="003C50A1"/>
    <w:rsid w:val="003C56D1"/>
    <w:rsid w:val="003C6026"/>
    <w:rsid w:val="003C6ADC"/>
    <w:rsid w:val="003C7064"/>
    <w:rsid w:val="003C749E"/>
    <w:rsid w:val="003C782E"/>
    <w:rsid w:val="003C7A65"/>
    <w:rsid w:val="003C7E4F"/>
    <w:rsid w:val="003C7FE5"/>
    <w:rsid w:val="003D0094"/>
    <w:rsid w:val="003D0B04"/>
    <w:rsid w:val="003D13EE"/>
    <w:rsid w:val="003D1448"/>
    <w:rsid w:val="003D191E"/>
    <w:rsid w:val="003D1993"/>
    <w:rsid w:val="003D2560"/>
    <w:rsid w:val="003D3372"/>
    <w:rsid w:val="003D3454"/>
    <w:rsid w:val="003D44E1"/>
    <w:rsid w:val="003D49C3"/>
    <w:rsid w:val="003D4D1C"/>
    <w:rsid w:val="003D56FD"/>
    <w:rsid w:val="003D6624"/>
    <w:rsid w:val="003D6802"/>
    <w:rsid w:val="003D7316"/>
    <w:rsid w:val="003D73E0"/>
    <w:rsid w:val="003D7B22"/>
    <w:rsid w:val="003E004B"/>
    <w:rsid w:val="003E0599"/>
    <w:rsid w:val="003E0C6C"/>
    <w:rsid w:val="003E1368"/>
    <w:rsid w:val="003E18E5"/>
    <w:rsid w:val="003E1941"/>
    <w:rsid w:val="003E1DAD"/>
    <w:rsid w:val="003E2231"/>
    <w:rsid w:val="003E2240"/>
    <w:rsid w:val="003E2856"/>
    <w:rsid w:val="003E34A4"/>
    <w:rsid w:val="003E395F"/>
    <w:rsid w:val="003E3C67"/>
    <w:rsid w:val="003E5873"/>
    <w:rsid w:val="003E5B4F"/>
    <w:rsid w:val="003E5CF2"/>
    <w:rsid w:val="003E629C"/>
    <w:rsid w:val="003E6984"/>
    <w:rsid w:val="003E78DA"/>
    <w:rsid w:val="003E7C60"/>
    <w:rsid w:val="003E7CAB"/>
    <w:rsid w:val="003F08D3"/>
    <w:rsid w:val="003F128F"/>
    <w:rsid w:val="003F310A"/>
    <w:rsid w:val="003F3175"/>
    <w:rsid w:val="003F3E6F"/>
    <w:rsid w:val="003F45E7"/>
    <w:rsid w:val="003F46F7"/>
    <w:rsid w:val="003F56FA"/>
    <w:rsid w:val="003F5DE2"/>
    <w:rsid w:val="003F6470"/>
    <w:rsid w:val="003F6A20"/>
    <w:rsid w:val="003F7A4B"/>
    <w:rsid w:val="003F7DE8"/>
    <w:rsid w:val="003F7F32"/>
    <w:rsid w:val="004000C2"/>
    <w:rsid w:val="0040019B"/>
    <w:rsid w:val="004007E8"/>
    <w:rsid w:val="004012E9"/>
    <w:rsid w:val="004015CC"/>
    <w:rsid w:val="004021D9"/>
    <w:rsid w:val="00402374"/>
    <w:rsid w:val="00402784"/>
    <w:rsid w:val="00402CCE"/>
    <w:rsid w:val="00402EE9"/>
    <w:rsid w:val="004033AE"/>
    <w:rsid w:val="004036B0"/>
    <w:rsid w:val="00403C87"/>
    <w:rsid w:val="004040D4"/>
    <w:rsid w:val="0040500D"/>
    <w:rsid w:val="00405240"/>
    <w:rsid w:val="0040583E"/>
    <w:rsid w:val="00405922"/>
    <w:rsid w:val="00405D86"/>
    <w:rsid w:val="0040743F"/>
    <w:rsid w:val="00410420"/>
    <w:rsid w:val="00410A10"/>
    <w:rsid w:val="00410BD1"/>
    <w:rsid w:val="00410D6C"/>
    <w:rsid w:val="00410FB8"/>
    <w:rsid w:val="0041161A"/>
    <w:rsid w:val="00412187"/>
    <w:rsid w:val="004121EE"/>
    <w:rsid w:val="0041292A"/>
    <w:rsid w:val="004146F7"/>
    <w:rsid w:val="00414A1E"/>
    <w:rsid w:val="00414CDC"/>
    <w:rsid w:val="004154E8"/>
    <w:rsid w:val="0041572B"/>
    <w:rsid w:val="00416BAA"/>
    <w:rsid w:val="00416C4C"/>
    <w:rsid w:val="00416F42"/>
    <w:rsid w:val="0042080F"/>
    <w:rsid w:val="00421C4D"/>
    <w:rsid w:val="00424C16"/>
    <w:rsid w:val="0042579D"/>
    <w:rsid w:val="004257BD"/>
    <w:rsid w:val="00425A8C"/>
    <w:rsid w:val="00426967"/>
    <w:rsid w:val="00426F1E"/>
    <w:rsid w:val="0042708D"/>
    <w:rsid w:val="004272A7"/>
    <w:rsid w:val="00427D8C"/>
    <w:rsid w:val="00430DC5"/>
    <w:rsid w:val="00431A4E"/>
    <w:rsid w:val="00431E3E"/>
    <w:rsid w:val="0043238C"/>
    <w:rsid w:val="004326DE"/>
    <w:rsid w:val="0043300C"/>
    <w:rsid w:val="0043409F"/>
    <w:rsid w:val="00435411"/>
    <w:rsid w:val="00435760"/>
    <w:rsid w:val="00435999"/>
    <w:rsid w:val="00436674"/>
    <w:rsid w:val="00436BB1"/>
    <w:rsid w:val="0043743C"/>
    <w:rsid w:val="00437827"/>
    <w:rsid w:val="00437FB3"/>
    <w:rsid w:val="004401FB"/>
    <w:rsid w:val="004406B8"/>
    <w:rsid w:val="004407EE"/>
    <w:rsid w:val="004410F9"/>
    <w:rsid w:val="00441FE8"/>
    <w:rsid w:val="00442215"/>
    <w:rsid w:val="00442B51"/>
    <w:rsid w:val="00443F0E"/>
    <w:rsid w:val="0044479C"/>
    <w:rsid w:val="0044529E"/>
    <w:rsid w:val="0044574C"/>
    <w:rsid w:val="004459D1"/>
    <w:rsid w:val="004502C2"/>
    <w:rsid w:val="00450453"/>
    <w:rsid w:val="00452088"/>
    <w:rsid w:val="0045324F"/>
    <w:rsid w:val="0045436D"/>
    <w:rsid w:val="004544EA"/>
    <w:rsid w:val="00454D99"/>
    <w:rsid w:val="00456272"/>
    <w:rsid w:val="004569C4"/>
    <w:rsid w:val="004569C6"/>
    <w:rsid w:val="00456C86"/>
    <w:rsid w:val="00460723"/>
    <w:rsid w:val="004608A7"/>
    <w:rsid w:val="0046103A"/>
    <w:rsid w:val="00462330"/>
    <w:rsid w:val="00462CDF"/>
    <w:rsid w:val="00462ED2"/>
    <w:rsid w:val="00463A93"/>
    <w:rsid w:val="00463FA7"/>
    <w:rsid w:val="00464650"/>
    <w:rsid w:val="00464DA0"/>
    <w:rsid w:val="00464E77"/>
    <w:rsid w:val="0046526B"/>
    <w:rsid w:val="00465A71"/>
    <w:rsid w:val="00465C6A"/>
    <w:rsid w:val="0046689F"/>
    <w:rsid w:val="0046782A"/>
    <w:rsid w:val="00467E70"/>
    <w:rsid w:val="00471008"/>
    <w:rsid w:val="0047117F"/>
    <w:rsid w:val="0047189B"/>
    <w:rsid w:val="0047190E"/>
    <w:rsid w:val="00471F6A"/>
    <w:rsid w:val="00472136"/>
    <w:rsid w:val="00472533"/>
    <w:rsid w:val="00472D1B"/>
    <w:rsid w:val="00473761"/>
    <w:rsid w:val="00474299"/>
    <w:rsid w:val="00474AA0"/>
    <w:rsid w:val="00475574"/>
    <w:rsid w:val="00475C08"/>
    <w:rsid w:val="00475C15"/>
    <w:rsid w:val="00476BBC"/>
    <w:rsid w:val="00480763"/>
    <w:rsid w:val="004809F3"/>
    <w:rsid w:val="00481451"/>
    <w:rsid w:val="00481EB2"/>
    <w:rsid w:val="00482155"/>
    <w:rsid w:val="004822FE"/>
    <w:rsid w:val="00482306"/>
    <w:rsid w:val="00482E0A"/>
    <w:rsid w:val="00483FCA"/>
    <w:rsid w:val="00485E60"/>
    <w:rsid w:val="0048748B"/>
    <w:rsid w:val="00487EBF"/>
    <w:rsid w:val="0049042F"/>
    <w:rsid w:val="00491618"/>
    <w:rsid w:val="004917EE"/>
    <w:rsid w:val="0049188D"/>
    <w:rsid w:val="004919A2"/>
    <w:rsid w:val="00491CE4"/>
    <w:rsid w:val="0049235E"/>
    <w:rsid w:val="004927EF"/>
    <w:rsid w:val="00492E1A"/>
    <w:rsid w:val="00492E3E"/>
    <w:rsid w:val="00492F00"/>
    <w:rsid w:val="00493075"/>
    <w:rsid w:val="004930F6"/>
    <w:rsid w:val="00493162"/>
    <w:rsid w:val="004945F9"/>
    <w:rsid w:val="00494A6A"/>
    <w:rsid w:val="00494F93"/>
    <w:rsid w:val="00495181"/>
    <w:rsid w:val="00495262"/>
    <w:rsid w:val="0049540A"/>
    <w:rsid w:val="004958E5"/>
    <w:rsid w:val="00496013"/>
    <w:rsid w:val="00496204"/>
    <w:rsid w:val="004971B9"/>
    <w:rsid w:val="004973C2"/>
    <w:rsid w:val="00497FC3"/>
    <w:rsid w:val="004A0345"/>
    <w:rsid w:val="004A07D8"/>
    <w:rsid w:val="004A16D9"/>
    <w:rsid w:val="004A19C4"/>
    <w:rsid w:val="004A1ED1"/>
    <w:rsid w:val="004A3B16"/>
    <w:rsid w:val="004A40E2"/>
    <w:rsid w:val="004A4D84"/>
    <w:rsid w:val="004A57AD"/>
    <w:rsid w:val="004A59BD"/>
    <w:rsid w:val="004A5FFD"/>
    <w:rsid w:val="004A6EF1"/>
    <w:rsid w:val="004A70CF"/>
    <w:rsid w:val="004A754C"/>
    <w:rsid w:val="004B0A90"/>
    <w:rsid w:val="004B0E8A"/>
    <w:rsid w:val="004B2255"/>
    <w:rsid w:val="004B29C2"/>
    <w:rsid w:val="004B2AAC"/>
    <w:rsid w:val="004B2BAE"/>
    <w:rsid w:val="004B3955"/>
    <w:rsid w:val="004B3C0F"/>
    <w:rsid w:val="004B3F3E"/>
    <w:rsid w:val="004B5116"/>
    <w:rsid w:val="004B7728"/>
    <w:rsid w:val="004B7C0A"/>
    <w:rsid w:val="004C0AB8"/>
    <w:rsid w:val="004C0C06"/>
    <w:rsid w:val="004C11B7"/>
    <w:rsid w:val="004C1CF5"/>
    <w:rsid w:val="004C21F4"/>
    <w:rsid w:val="004C2525"/>
    <w:rsid w:val="004C2A8A"/>
    <w:rsid w:val="004C2BD0"/>
    <w:rsid w:val="004C3EAC"/>
    <w:rsid w:val="004C4021"/>
    <w:rsid w:val="004C414B"/>
    <w:rsid w:val="004C552D"/>
    <w:rsid w:val="004C5BAA"/>
    <w:rsid w:val="004C5D80"/>
    <w:rsid w:val="004C67C0"/>
    <w:rsid w:val="004C689F"/>
    <w:rsid w:val="004C7AAB"/>
    <w:rsid w:val="004D0F22"/>
    <w:rsid w:val="004D14FE"/>
    <w:rsid w:val="004D1EBB"/>
    <w:rsid w:val="004D22E2"/>
    <w:rsid w:val="004D2B43"/>
    <w:rsid w:val="004D2F4A"/>
    <w:rsid w:val="004D3278"/>
    <w:rsid w:val="004D3D65"/>
    <w:rsid w:val="004D467E"/>
    <w:rsid w:val="004D4C75"/>
    <w:rsid w:val="004D5BEF"/>
    <w:rsid w:val="004D5CEE"/>
    <w:rsid w:val="004D6683"/>
    <w:rsid w:val="004D67E0"/>
    <w:rsid w:val="004D68B6"/>
    <w:rsid w:val="004D6AE8"/>
    <w:rsid w:val="004D7778"/>
    <w:rsid w:val="004D7917"/>
    <w:rsid w:val="004E00DF"/>
    <w:rsid w:val="004E14A8"/>
    <w:rsid w:val="004E18FC"/>
    <w:rsid w:val="004E1C93"/>
    <w:rsid w:val="004E21F3"/>
    <w:rsid w:val="004E229C"/>
    <w:rsid w:val="004E3336"/>
    <w:rsid w:val="004E3A62"/>
    <w:rsid w:val="004E44AC"/>
    <w:rsid w:val="004E47C9"/>
    <w:rsid w:val="004E5409"/>
    <w:rsid w:val="004E54CC"/>
    <w:rsid w:val="004E5905"/>
    <w:rsid w:val="004E7B04"/>
    <w:rsid w:val="004E7EFE"/>
    <w:rsid w:val="004F0018"/>
    <w:rsid w:val="004F006B"/>
    <w:rsid w:val="004F0FC4"/>
    <w:rsid w:val="004F1503"/>
    <w:rsid w:val="004F193D"/>
    <w:rsid w:val="004F199B"/>
    <w:rsid w:val="004F246E"/>
    <w:rsid w:val="004F2967"/>
    <w:rsid w:val="004F2AB1"/>
    <w:rsid w:val="004F30FA"/>
    <w:rsid w:val="004F39E0"/>
    <w:rsid w:val="004F3EEA"/>
    <w:rsid w:val="004F3FAA"/>
    <w:rsid w:val="004F3FEC"/>
    <w:rsid w:val="004F40AB"/>
    <w:rsid w:val="004F5E82"/>
    <w:rsid w:val="004F5FD2"/>
    <w:rsid w:val="004F63D5"/>
    <w:rsid w:val="004F658F"/>
    <w:rsid w:val="004F7BF4"/>
    <w:rsid w:val="004F7C22"/>
    <w:rsid w:val="005006ED"/>
    <w:rsid w:val="00501637"/>
    <w:rsid w:val="0050219A"/>
    <w:rsid w:val="0050277A"/>
    <w:rsid w:val="005035CD"/>
    <w:rsid w:val="00503AF6"/>
    <w:rsid w:val="00504A8B"/>
    <w:rsid w:val="005056D9"/>
    <w:rsid w:val="005061C8"/>
    <w:rsid w:val="005079AE"/>
    <w:rsid w:val="00507E6F"/>
    <w:rsid w:val="00507F4F"/>
    <w:rsid w:val="005107BC"/>
    <w:rsid w:val="00511CC3"/>
    <w:rsid w:val="00512126"/>
    <w:rsid w:val="005123D6"/>
    <w:rsid w:val="005123F7"/>
    <w:rsid w:val="005124F0"/>
    <w:rsid w:val="00512D44"/>
    <w:rsid w:val="005136CD"/>
    <w:rsid w:val="00513A5D"/>
    <w:rsid w:val="00513B9E"/>
    <w:rsid w:val="00513EFD"/>
    <w:rsid w:val="0051401C"/>
    <w:rsid w:val="00514DA4"/>
    <w:rsid w:val="00515047"/>
    <w:rsid w:val="00515A70"/>
    <w:rsid w:val="00515A89"/>
    <w:rsid w:val="00516311"/>
    <w:rsid w:val="005176D5"/>
    <w:rsid w:val="00517C9E"/>
    <w:rsid w:val="00517CEC"/>
    <w:rsid w:val="00521186"/>
    <w:rsid w:val="005212BE"/>
    <w:rsid w:val="00521413"/>
    <w:rsid w:val="005215F4"/>
    <w:rsid w:val="00521802"/>
    <w:rsid w:val="005220B7"/>
    <w:rsid w:val="00522264"/>
    <w:rsid w:val="005226AC"/>
    <w:rsid w:val="005228FF"/>
    <w:rsid w:val="005232F4"/>
    <w:rsid w:val="00523CFE"/>
    <w:rsid w:val="00523DA1"/>
    <w:rsid w:val="00523FC3"/>
    <w:rsid w:val="00524B3D"/>
    <w:rsid w:val="00525B2B"/>
    <w:rsid w:val="005262E5"/>
    <w:rsid w:val="00526E6F"/>
    <w:rsid w:val="00527BBA"/>
    <w:rsid w:val="005300D8"/>
    <w:rsid w:val="005309CD"/>
    <w:rsid w:val="0053103A"/>
    <w:rsid w:val="00531213"/>
    <w:rsid w:val="00532058"/>
    <w:rsid w:val="005322C3"/>
    <w:rsid w:val="00532540"/>
    <w:rsid w:val="00533A3D"/>
    <w:rsid w:val="00534103"/>
    <w:rsid w:val="0053448E"/>
    <w:rsid w:val="00534853"/>
    <w:rsid w:val="005355BB"/>
    <w:rsid w:val="00536032"/>
    <w:rsid w:val="00536E69"/>
    <w:rsid w:val="005379F8"/>
    <w:rsid w:val="00537AAE"/>
    <w:rsid w:val="0054069D"/>
    <w:rsid w:val="00540F56"/>
    <w:rsid w:val="00540F85"/>
    <w:rsid w:val="005414F1"/>
    <w:rsid w:val="00541525"/>
    <w:rsid w:val="005415A3"/>
    <w:rsid w:val="00542F6D"/>
    <w:rsid w:val="0054339D"/>
    <w:rsid w:val="005436E1"/>
    <w:rsid w:val="00543B39"/>
    <w:rsid w:val="005446B4"/>
    <w:rsid w:val="005447C3"/>
    <w:rsid w:val="00544877"/>
    <w:rsid w:val="00544AEC"/>
    <w:rsid w:val="00545006"/>
    <w:rsid w:val="00545173"/>
    <w:rsid w:val="00545603"/>
    <w:rsid w:val="0054614E"/>
    <w:rsid w:val="00547EC0"/>
    <w:rsid w:val="00550A7F"/>
    <w:rsid w:val="00553170"/>
    <w:rsid w:val="00553D4C"/>
    <w:rsid w:val="00554783"/>
    <w:rsid w:val="0055478A"/>
    <w:rsid w:val="00555490"/>
    <w:rsid w:val="00555985"/>
    <w:rsid w:val="00555F10"/>
    <w:rsid w:val="00556318"/>
    <w:rsid w:val="005569C2"/>
    <w:rsid w:val="00556C08"/>
    <w:rsid w:val="00557DF7"/>
    <w:rsid w:val="00560012"/>
    <w:rsid w:val="005607E5"/>
    <w:rsid w:val="00561799"/>
    <w:rsid w:val="00561911"/>
    <w:rsid w:val="00561E65"/>
    <w:rsid w:val="00561E66"/>
    <w:rsid w:val="005623DD"/>
    <w:rsid w:val="00562EA0"/>
    <w:rsid w:val="005632FE"/>
    <w:rsid w:val="00563CD2"/>
    <w:rsid w:val="00563DA2"/>
    <w:rsid w:val="005640F6"/>
    <w:rsid w:val="00564518"/>
    <w:rsid w:val="00564562"/>
    <w:rsid w:val="00564B7A"/>
    <w:rsid w:val="00565B50"/>
    <w:rsid w:val="0056652A"/>
    <w:rsid w:val="00566AAC"/>
    <w:rsid w:val="00566B79"/>
    <w:rsid w:val="0056782C"/>
    <w:rsid w:val="00570CCB"/>
    <w:rsid w:val="00571023"/>
    <w:rsid w:val="00572208"/>
    <w:rsid w:val="00572221"/>
    <w:rsid w:val="00572345"/>
    <w:rsid w:val="00572379"/>
    <w:rsid w:val="0057341A"/>
    <w:rsid w:val="0057355B"/>
    <w:rsid w:val="00573E60"/>
    <w:rsid w:val="005741A4"/>
    <w:rsid w:val="005741AE"/>
    <w:rsid w:val="005742BA"/>
    <w:rsid w:val="0057483A"/>
    <w:rsid w:val="00574A41"/>
    <w:rsid w:val="0057503D"/>
    <w:rsid w:val="0057594A"/>
    <w:rsid w:val="00575BC5"/>
    <w:rsid w:val="0057665E"/>
    <w:rsid w:val="0057778B"/>
    <w:rsid w:val="005779AE"/>
    <w:rsid w:val="00577A04"/>
    <w:rsid w:val="00577F1B"/>
    <w:rsid w:val="005800F6"/>
    <w:rsid w:val="0058040C"/>
    <w:rsid w:val="00580C2C"/>
    <w:rsid w:val="0058103D"/>
    <w:rsid w:val="005815B1"/>
    <w:rsid w:val="00581733"/>
    <w:rsid w:val="00581960"/>
    <w:rsid w:val="00581D15"/>
    <w:rsid w:val="00581F45"/>
    <w:rsid w:val="005832D0"/>
    <w:rsid w:val="0058337B"/>
    <w:rsid w:val="00583C1A"/>
    <w:rsid w:val="00583E2E"/>
    <w:rsid w:val="00584D0E"/>
    <w:rsid w:val="00584E19"/>
    <w:rsid w:val="00585374"/>
    <w:rsid w:val="00585928"/>
    <w:rsid w:val="00585D71"/>
    <w:rsid w:val="00586146"/>
    <w:rsid w:val="0058659D"/>
    <w:rsid w:val="005870D9"/>
    <w:rsid w:val="0058738E"/>
    <w:rsid w:val="00587997"/>
    <w:rsid w:val="00587CF5"/>
    <w:rsid w:val="00587D30"/>
    <w:rsid w:val="0059040A"/>
    <w:rsid w:val="00591FF7"/>
    <w:rsid w:val="00593078"/>
    <w:rsid w:val="0059433C"/>
    <w:rsid w:val="005946AB"/>
    <w:rsid w:val="0059490F"/>
    <w:rsid w:val="0059498B"/>
    <w:rsid w:val="00595D09"/>
    <w:rsid w:val="00595F30"/>
    <w:rsid w:val="0059601F"/>
    <w:rsid w:val="0059624A"/>
    <w:rsid w:val="00596B42"/>
    <w:rsid w:val="00596F83"/>
    <w:rsid w:val="005972AC"/>
    <w:rsid w:val="005979D0"/>
    <w:rsid w:val="00597E1E"/>
    <w:rsid w:val="005A0111"/>
    <w:rsid w:val="005A0436"/>
    <w:rsid w:val="005A15DF"/>
    <w:rsid w:val="005A2455"/>
    <w:rsid w:val="005A2C29"/>
    <w:rsid w:val="005A365B"/>
    <w:rsid w:val="005A50FA"/>
    <w:rsid w:val="005A5BB0"/>
    <w:rsid w:val="005A60BD"/>
    <w:rsid w:val="005A6F2E"/>
    <w:rsid w:val="005A777B"/>
    <w:rsid w:val="005B014D"/>
    <w:rsid w:val="005B06F5"/>
    <w:rsid w:val="005B080A"/>
    <w:rsid w:val="005B1DF4"/>
    <w:rsid w:val="005B1FB3"/>
    <w:rsid w:val="005B2A50"/>
    <w:rsid w:val="005B2BDA"/>
    <w:rsid w:val="005B2F13"/>
    <w:rsid w:val="005B3D31"/>
    <w:rsid w:val="005B3D44"/>
    <w:rsid w:val="005B43DC"/>
    <w:rsid w:val="005B46BB"/>
    <w:rsid w:val="005B46C1"/>
    <w:rsid w:val="005B5FD3"/>
    <w:rsid w:val="005B6086"/>
    <w:rsid w:val="005B6137"/>
    <w:rsid w:val="005B67E6"/>
    <w:rsid w:val="005B6C4C"/>
    <w:rsid w:val="005B7A7E"/>
    <w:rsid w:val="005B7B02"/>
    <w:rsid w:val="005C1791"/>
    <w:rsid w:val="005C1944"/>
    <w:rsid w:val="005C1B2F"/>
    <w:rsid w:val="005C1C69"/>
    <w:rsid w:val="005C21D6"/>
    <w:rsid w:val="005C21D8"/>
    <w:rsid w:val="005C3154"/>
    <w:rsid w:val="005C41C0"/>
    <w:rsid w:val="005C4511"/>
    <w:rsid w:val="005C4886"/>
    <w:rsid w:val="005C54B5"/>
    <w:rsid w:val="005C5EF7"/>
    <w:rsid w:val="005C7CA2"/>
    <w:rsid w:val="005D034D"/>
    <w:rsid w:val="005D0742"/>
    <w:rsid w:val="005D0E29"/>
    <w:rsid w:val="005D1598"/>
    <w:rsid w:val="005D159C"/>
    <w:rsid w:val="005D28B6"/>
    <w:rsid w:val="005D2F69"/>
    <w:rsid w:val="005D308D"/>
    <w:rsid w:val="005D415D"/>
    <w:rsid w:val="005D49CE"/>
    <w:rsid w:val="005D5152"/>
    <w:rsid w:val="005D52D2"/>
    <w:rsid w:val="005D5A41"/>
    <w:rsid w:val="005D5ABC"/>
    <w:rsid w:val="005D647C"/>
    <w:rsid w:val="005D6609"/>
    <w:rsid w:val="005D6621"/>
    <w:rsid w:val="005D7067"/>
    <w:rsid w:val="005D7209"/>
    <w:rsid w:val="005D72AC"/>
    <w:rsid w:val="005D7A00"/>
    <w:rsid w:val="005D7BE3"/>
    <w:rsid w:val="005D7CF6"/>
    <w:rsid w:val="005D7D58"/>
    <w:rsid w:val="005E0556"/>
    <w:rsid w:val="005E063E"/>
    <w:rsid w:val="005E076D"/>
    <w:rsid w:val="005E13A6"/>
    <w:rsid w:val="005E2A35"/>
    <w:rsid w:val="005E2E60"/>
    <w:rsid w:val="005E33E1"/>
    <w:rsid w:val="005E3791"/>
    <w:rsid w:val="005E3D6D"/>
    <w:rsid w:val="005E411A"/>
    <w:rsid w:val="005E70F6"/>
    <w:rsid w:val="005E73F9"/>
    <w:rsid w:val="005E75A9"/>
    <w:rsid w:val="005E7BDD"/>
    <w:rsid w:val="005F0514"/>
    <w:rsid w:val="005F0A66"/>
    <w:rsid w:val="005F0B87"/>
    <w:rsid w:val="005F0E12"/>
    <w:rsid w:val="005F1077"/>
    <w:rsid w:val="005F1233"/>
    <w:rsid w:val="005F2376"/>
    <w:rsid w:val="005F37E7"/>
    <w:rsid w:val="005F4280"/>
    <w:rsid w:val="005F4A35"/>
    <w:rsid w:val="005F4D4D"/>
    <w:rsid w:val="005F5204"/>
    <w:rsid w:val="005F5492"/>
    <w:rsid w:val="005F59AC"/>
    <w:rsid w:val="005F5A14"/>
    <w:rsid w:val="005F64C8"/>
    <w:rsid w:val="005F7415"/>
    <w:rsid w:val="005F7CF6"/>
    <w:rsid w:val="006003DF"/>
    <w:rsid w:val="0060085A"/>
    <w:rsid w:val="0060108F"/>
    <w:rsid w:val="00601F95"/>
    <w:rsid w:val="00602696"/>
    <w:rsid w:val="0060276B"/>
    <w:rsid w:val="00602B66"/>
    <w:rsid w:val="00603039"/>
    <w:rsid w:val="00604073"/>
    <w:rsid w:val="00604341"/>
    <w:rsid w:val="006048E8"/>
    <w:rsid w:val="00606AFE"/>
    <w:rsid w:val="00606E2F"/>
    <w:rsid w:val="00607934"/>
    <w:rsid w:val="00610000"/>
    <w:rsid w:val="0061035E"/>
    <w:rsid w:val="006104B5"/>
    <w:rsid w:val="00610611"/>
    <w:rsid w:val="00611326"/>
    <w:rsid w:val="006113C5"/>
    <w:rsid w:val="0061140E"/>
    <w:rsid w:val="006128BB"/>
    <w:rsid w:val="0061324B"/>
    <w:rsid w:val="006139B8"/>
    <w:rsid w:val="00614704"/>
    <w:rsid w:val="00617E5E"/>
    <w:rsid w:val="0062064A"/>
    <w:rsid w:val="00620893"/>
    <w:rsid w:val="00621719"/>
    <w:rsid w:val="00621C8D"/>
    <w:rsid w:val="00621D16"/>
    <w:rsid w:val="00621D8B"/>
    <w:rsid w:val="00621E63"/>
    <w:rsid w:val="00623064"/>
    <w:rsid w:val="00623499"/>
    <w:rsid w:val="006234E9"/>
    <w:rsid w:val="006234EF"/>
    <w:rsid w:val="0062402F"/>
    <w:rsid w:val="0062422D"/>
    <w:rsid w:val="00624348"/>
    <w:rsid w:val="00624882"/>
    <w:rsid w:val="00624BCE"/>
    <w:rsid w:val="0062557A"/>
    <w:rsid w:val="006256A7"/>
    <w:rsid w:val="00625C1B"/>
    <w:rsid w:val="006272C1"/>
    <w:rsid w:val="00627949"/>
    <w:rsid w:val="00627A64"/>
    <w:rsid w:val="0063042A"/>
    <w:rsid w:val="0063049A"/>
    <w:rsid w:val="0063119A"/>
    <w:rsid w:val="00631643"/>
    <w:rsid w:val="00631F97"/>
    <w:rsid w:val="00633A82"/>
    <w:rsid w:val="00633C08"/>
    <w:rsid w:val="00634412"/>
    <w:rsid w:val="0063443A"/>
    <w:rsid w:val="00634B2C"/>
    <w:rsid w:val="00634FE6"/>
    <w:rsid w:val="006353FB"/>
    <w:rsid w:val="00635A87"/>
    <w:rsid w:val="006367EC"/>
    <w:rsid w:val="00636BDB"/>
    <w:rsid w:val="00637145"/>
    <w:rsid w:val="00637A27"/>
    <w:rsid w:val="00640953"/>
    <w:rsid w:val="00640CE3"/>
    <w:rsid w:val="00640F09"/>
    <w:rsid w:val="006428D2"/>
    <w:rsid w:val="006434E5"/>
    <w:rsid w:val="00643BBF"/>
    <w:rsid w:val="0064441F"/>
    <w:rsid w:val="00644425"/>
    <w:rsid w:val="0064462B"/>
    <w:rsid w:val="00645139"/>
    <w:rsid w:val="006472FA"/>
    <w:rsid w:val="00647849"/>
    <w:rsid w:val="00647C9E"/>
    <w:rsid w:val="006504A0"/>
    <w:rsid w:val="00650F68"/>
    <w:rsid w:val="006518D0"/>
    <w:rsid w:val="00651C79"/>
    <w:rsid w:val="00651D5F"/>
    <w:rsid w:val="00652DD5"/>
    <w:rsid w:val="006532B3"/>
    <w:rsid w:val="0065337E"/>
    <w:rsid w:val="00653480"/>
    <w:rsid w:val="0065373A"/>
    <w:rsid w:val="00654076"/>
    <w:rsid w:val="0065457E"/>
    <w:rsid w:val="006545C4"/>
    <w:rsid w:val="0065470A"/>
    <w:rsid w:val="00654AF5"/>
    <w:rsid w:val="0065505B"/>
    <w:rsid w:val="00655EEE"/>
    <w:rsid w:val="00656183"/>
    <w:rsid w:val="006561CE"/>
    <w:rsid w:val="006563E8"/>
    <w:rsid w:val="00657A12"/>
    <w:rsid w:val="00657B00"/>
    <w:rsid w:val="006604D5"/>
    <w:rsid w:val="00662503"/>
    <w:rsid w:val="006627E8"/>
    <w:rsid w:val="006632F7"/>
    <w:rsid w:val="00663B03"/>
    <w:rsid w:val="00663BF2"/>
    <w:rsid w:val="006644BD"/>
    <w:rsid w:val="006644E7"/>
    <w:rsid w:val="00664A43"/>
    <w:rsid w:val="00665157"/>
    <w:rsid w:val="00665577"/>
    <w:rsid w:val="006655F8"/>
    <w:rsid w:val="00665E23"/>
    <w:rsid w:val="006670B7"/>
    <w:rsid w:val="006670CE"/>
    <w:rsid w:val="0066736B"/>
    <w:rsid w:val="006676F1"/>
    <w:rsid w:val="00667825"/>
    <w:rsid w:val="006701B9"/>
    <w:rsid w:val="0067064A"/>
    <w:rsid w:val="00670720"/>
    <w:rsid w:val="00670E44"/>
    <w:rsid w:val="00672077"/>
    <w:rsid w:val="00672A76"/>
    <w:rsid w:val="00672BF3"/>
    <w:rsid w:val="00672C2E"/>
    <w:rsid w:val="00672D98"/>
    <w:rsid w:val="00672F48"/>
    <w:rsid w:val="00673FE0"/>
    <w:rsid w:val="00674216"/>
    <w:rsid w:val="00674262"/>
    <w:rsid w:val="0067663D"/>
    <w:rsid w:val="006802F1"/>
    <w:rsid w:val="00680AAF"/>
    <w:rsid w:val="00680F39"/>
    <w:rsid w:val="0068124D"/>
    <w:rsid w:val="006812DE"/>
    <w:rsid w:val="00681D76"/>
    <w:rsid w:val="00682AD1"/>
    <w:rsid w:val="00683140"/>
    <w:rsid w:val="00683848"/>
    <w:rsid w:val="00683E2E"/>
    <w:rsid w:val="006849EE"/>
    <w:rsid w:val="00684BBE"/>
    <w:rsid w:val="00684C66"/>
    <w:rsid w:val="00685653"/>
    <w:rsid w:val="0068631D"/>
    <w:rsid w:val="00686652"/>
    <w:rsid w:val="00686AC1"/>
    <w:rsid w:val="00686E6E"/>
    <w:rsid w:val="00687FDF"/>
    <w:rsid w:val="006906AD"/>
    <w:rsid w:val="006913B9"/>
    <w:rsid w:val="00691515"/>
    <w:rsid w:val="0069186C"/>
    <w:rsid w:val="00691DAD"/>
    <w:rsid w:val="006928AC"/>
    <w:rsid w:val="00693141"/>
    <w:rsid w:val="006933D6"/>
    <w:rsid w:val="00693866"/>
    <w:rsid w:val="00695141"/>
    <w:rsid w:val="006951E5"/>
    <w:rsid w:val="00695221"/>
    <w:rsid w:val="006964E6"/>
    <w:rsid w:val="00696C92"/>
    <w:rsid w:val="006976BE"/>
    <w:rsid w:val="006976EB"/>
    <w:rsid w:val="0069799C"/>
    <w:rsid w:val="006979BD"/>
    <w:rsid w:val="00697A8E"/>
    <w:rsid w:val="006A0440"/>
    <w:rsid w:val="006A0D5D"/>
    <w:rsid w:val="006A0F20"/>
    <w:rsid w:val="006A1AC4"/>
    <w:rsid w:val="006A23AB"/>
    <w:rsid w:val="006A2631"/>
    <w:rsid w:val="006A329B"/>
    <w:rsid w:val="006A372F"/>
    <w:rsid w:val="006A40DD"/>
    <w:rsid w:val="006A464A"/>
    <w:rsid w:val="006A4DDC"/>
    <w:rsid w:val="006A624B"/>
    <w:rsid w:val="006A762F"/>
    <w:rsid w:val="006A765B"/>
    <w:rsid w:val="006B0A00"/>
    <w:rsid w:val="006B0C16"/>
    <w:rsid w:val="006B1001"/>
    <w:rsid w:val="006B168A"/>
    <w:rsid w:val="006B1711"/>
    <w:rsid w:val="006B1B5F"/>
    <w:rsid w:val="006B1DAD"/>
    <w:rsid w:val="006B218B"/>
    <w:rsid w:val="006B308C"/>
    <w:rsid w:val="006B37E9"/>
    <w:rsid w:val="006B5D01"/>
    <w:rsid w:val="006B6CCB"/>
    <w:rsid w:val="006B6E45"/>
    <w:rsid w:val="006B771F"/>
    <w:rsid w:val="006B783E"/>
    <w:rsid w:val="006C052B"/>
    <w:rsid w:val="006C2306"/>
    <w:rsid w:val="006C350F"/>
    <w:rsid w:val="006C3AB1"/>
    <w:rsid w:val="006C3E72"/>
    <w:rsid w:val="006C4110"/>
    <w:rsid w:val="006C41AC"/>
    <w:rsid w:val="006C5348"/>
    <w:rsid w:val="006C54CF"/>
    <w:rsid w:val="006C696E"/>
    <w:rsid w:val="006C74D2"/>
    <w:rsid w:val="006C79BD"/>
    <w:rsid w:val="006C7BE6"/>
    <w:rsid w:val="006D1016"/>
    <w:rsid w:val="006D1B1D"/>
    <w:rsid w:val="006D1DC9"/>
    <w:rsid w:val="006D2412"/>
    <w:rsid w:val="006D2682"/>
    <w:rsid w:val="006D2B91"/>
    <w:rsid w:val="006D5150"/>
    <w:rsid w:val="006D5251"/>
    <w:rsid w:val="006D5B6F"/>
    <w:rsid w:val="006D6046"/>
    <w:rsid w:val="006D62EE"/>
    <w:rsid w:val="006D67E0"/>
    <w:rsid w:val="006D6981"/>
    <w:rsid w:val="006D7211"/>
    <w:rsid w:val="006D7593"/>
    <w:rsid w:val="006D774E"/>
    <w:rsid w:val="006D7B57"/>
    <w:rsid w:val="006E0312"/>
    <w:rsid w:val="006E0DD3"/>
    <w:rsid w:val="006E1E26"/>
    <w:rsid w:val="006E2E63"/>
    <w:rsid w:val="006E2F2F"/>
    <w:rsid w:val="006E31EA"/>
    <w:rsid w:val="006E32D8"/>
    <w:rsid w:val="006E3DEB"/>
    <w:rsid w:val="006E3EF4"/>
    <w:rsid w:val="006E458E"/>
    <w:rsid w:val="006E496A"/>
    <w:rsid w:val="006E4A38"/>
    <w:rsid w:val="006E4E70"/>
    <w:rsid w:val="006E5057"/>
    <w:rsid w:val="006E5643"/>
    <w:rsid w:val="006E56E6"/>
    <w:rsid w:val="006E6238"/>
    <w:rsid w:val="006E6A21"/>
    <w:rsid w:val="006E7218"/>
    <w:rsid w:val="006E74BD"/>
    <w:rsid w:val="006E760C"/>
    <w:rsid w:val="006E7E6E"/>
    <w:rsid w:val="006F0297"/>
    <w:rsid w:val="006F0679"/>
    <w:rsid w:val="006F0771"/>
    <w:rsid w:val="006F0A58"/>
    <w:rsid w:val="006F224D"/>
    <w:rsid w:val="006F2F9E"/>
    <w:rsid w:val="006F31C8"/>
    <w:rsid w:val="006F41E5"/>
    <w:rsid w:val="006F4B7F"/>
    <w:rsid w:val="006F521D"/>
    <w:rsid w:val="006F6820"/>
    <w:rsid w:val="006F6B14"/>
    <w:rsid w:val="006F72E5"/>
    <w:rsid w:val="007001DF"/>
    <w:rsid w:val="007002DF"/>
    <w:rsid w:val="00700646"/>
    <w:rsid w:val="007008B0"/>
    <w:rsid w:val="007009E2"/>
    <w:rsid w:val="00700E81"/>
    <w:rsid w:val="00701063"/>
    <w:rsid w:val="007011A4"/>
    <w:rsid w:val="007021B4"/>
    <w:rsid w:val="00702317"/>
    <w:rsid w:val="0070268D"/>
    <w:rsid w:val="00702C38"/>
    <w:rsid w:val="0070336A"/>
    <w:rsid w:val="00703760"/>
    <w:rsid w:val="0070420C"/>
    <w:rsid w:val="007044B8"/>
    <w:rsid w:val="00704586"/>
    <w:rsid w:val="0070548B"/>
    <w:rsid w:val="00705A7E"/>
    <w:rsid w:val="00705AA2"/>
    <w:rsid w:val="007073BE"/>
    <w:rsid w:val="00707453"/>
    <w:rsid w:val="007100C7"/>
    <w:rsid w:val="00710AC0"/>
    <w:rsid w:val="007119F1"/>
    <w:rsid w:val="0071254F"/>
    <w:rsid w:val="007133E9"/>
    <w:rsid w:val="0071370A"/>
    <w:rsid w:val="00713837"/>
    <w:rsid w:val="00713AA9"/>
    <w:rsid w:val="00713D96"/>
    <w:rsid w:val="007142A8"/>
    <w:rsid w:val="007159E7"/>
    <w:rsid w:val="007170D0"/>
    <w:rsid w:val="007176E3"/>
    <w:rsid w:val="007176EB"/>
    <w:rsid w:val="00720321"/>
    <w:rsid w:val="00720928"/>
    <w:rsid w:val="00721A7D"/>
    <w:rsid w:val="00722845"/>
    <w:rsid w:val="0072337C"/>
    <w:rsid w:val="007239B0"/>
    <w:rsid w:val="00723A3F"/>
    <w:rsid w:val="00723EE3"/>
    <w:rsid w:val="007240C3"/>
    <w:rsid w:val="007247B4"/>
    <w:rsid w:val="007252A3"/>
    <w:rsid w:val="0072590E"/>
    <w:rsid w:val="00727028"/>
    <w:rsid w:val="00727B9D"/>
    <w:rsid w:val="00727D4A"/>
    <w:rsid w:val="00727F56"/>
    <w:rsid w:val="00730312"/>
    <w:rsid w:val="00730912"/>
    <w:rsid w:val="007315B8"/>
    <w:rsid w:val="00731FAA"/>
    <w:rsid w:val="007321DA"/>
    <w:rsid w:val="007331F4"/>
    <w:rsid w:val="007332DC"/>
    <w:rsid w:val="007333DC"/>
    <w:rsid w:val="007335C8"/>
    <w:rsid w:val="00733F13"/>
    <w:rsid w:val="00733F99"/>
    <w:rsid w:val="00735B67"/>
    <w:rsid w:val="00735D45"/>
    <w:rsid w:val="00736994"/>
    <w:rsid w:val="00736B48"/>
    <w:rsid w:val="00736E34"/>
    <w:rsid w:val="00737A69"/>
    <w:rsid w:val="00737AAA"/>
    <w:rsid w:val="00737C27"/>
    <w:rsid w:val="00740D4B"/>
    <w:rsid w:val="0074104B"/>
    <w:rsid w:val="007413FC"/>
    <w:rsid w:val="00742A69"/>
    <w:rsid w:val="00742A9D"/>
    <w:rsid w:val="0074310D"/>
    <w:rsid w:val="00743267"/>
    <w:rsid w:val="00744E44"/>
    <w:rsid w:val="00745FD2"/>
    <w:rsid w:val="00746BCF"/>
    <w:rsid w:val="007470B0"/>
    <w:rsid w:val="00747A29"/>
    <w:rsid w:val="00747BA1"/>
    <w:rsid w:val="007513C4"/>
    <w:rsid w:val="007515F3"/>
    <w:rsid w:val="00751669"/>
    <w:rsid w:val="00751C44"/>
    <w:rsid w:val="007529B5"/>
    <w:rsid w:val="0075346A"/>
    <w:rsid w:val="00753A6D"/>
    <w:rsid w:val="00753BB6"/>
    <w:rsid w:val="007542C2"/>
    <w:rsid w:val="00754BFF"/>
    <w:rsid w:val="00754CD5"/>
    <w:rsid w:val="00754CF1"/>
    <w:rsid w:val="007551C2"/>
    <w:rsid w:val="00755816"/>
    <w:rsid w:val="00755AD3"/>
    <w:rsid w:val="00755FFC"/>
    <w:rsid w:val="0075653B"/>
    <w:rsid w:val="00757973"/>
    <w:rsid w:val="00760CED"/>
    <w:rsid w:val="00760FF3"/>
    <w:rsid w:val="007610FB"/>
    <w:rsid w:val="0076180D"/>
    <w:rsid w:val="007630A3"/>
    <w:rsid w:val="0076316E"/>
    <w:rsid w:val="007631D5"/>
    <w:rsid w:val="007632DE"/>
    <w:rsid w:val="00763719"/>
    <w:rsid w:val="00763FF9"/>
    <w:rsid w:val="00764509"/>
    <w:rsid w:val="00766661"/>
    <w:rsid w:val="00766BA5"/>
    <w:rsid w:val="00766DE0"/>
    <w:rsid w:val="007675BA"/>
    <w:rsid w:val="007702B5"/>
    <w:rsid w:val="0077087B"/>
    <w:rsid w:val="00770954"/>
    <w:rsid w:val="007709BF"/>
    <w:rsid w:val="007712E2"/>
    <w:rsid w:val="007713BE"/>
    <w:rsid w:val="00771448"/>
    <w:rsid w:val="00771B4D"/>
    <w:rsid w:val="0077253C"/>
    <w:rsid w:val="0077340E"/>
    <w:rsid w:val="007734E8"/>
    <w:rsid w:val="00773D7C"/>
    <w:rsid w:val="00774057"/>
    <w:rsid w:val="00775FEF"/>
    <w:rsid w:val="00776062"/>
    <w:rsid w:val="00776384"/>
    <w:rsid w:val="0077667B"/>
    <w:rsid w:val="007768BB"/>
    <w:rsid w:val="00776A4B"/>
    <w:rsid w:val="00777390"/>
    <w:rsid w:val="007773E7"/>
    <w:rsid w:val="00777492"/>
    <w:rsid w:val="00777EA7"/>
    <w:rsid w:val="00780EBC"/>
    <w:rsid w:val="00780EF5"/>
    <w:rsid w:val="00780FD3"/>
    <w:rsid w:val="00781171"/>
    <w:rsid w:val="00781186"/>
    <w:rsid w:val="00781A26"/>
    <w:rsid w:val="007822A5"/>
    <w:rsid w:val="007833EB"/>
    <w:rsid w:val="00783E05"/>
    <w:rsid w:val="0078596F"/>
    <w:rsid w:val="00785E11"/>
    <w:rsid w:val="00786327"/>
    <w:rsid w:val="00786D69"/>
    <w:rsid w:val="00787460"/>
    <w:rsid w:val="00790D75"/>
    <w:rsid w:val="00792C47"/>
    <w:rsid w:val="00792DFD"/>
    <w:rsid w:val="00793354"/>
    <w:rsid w:val="00793380"/>
    <w:rsid w:val="00793791"/>
    <w:rsid w:val="00793B35"/>
    <w:rsid w:val="00793CB8"/>
    <w:rsid w:val="00793F99"/>
    <w:rsid w:val="0079416F"/>
    <w:rsid w:val="00794F08"/>
    <w:rsid w:val="007955F6"/>
    <w:rsid w:val="007959DC"/>
    <w:rsid w:val="00795AA6"/>
    <w:rsid w:val="00795D53"/>
    <w:rsid w:val="007961EA"/>
    <w:rsid w:val="00796E12"/>
    <w:rsid w:val="0079753F"/>
    <w:rsid w:val="00797AB5"/>
    <w:rsid w:val="007A0ADF"/>
    <w:rsid w:val="007A18DC"/>
    <w:rsid w:val="007A2650"/>
    <w:rsid w:val="007A2F34"/>
    <w:rsid w:val="007A3306"/>
    <w:rsid w:val="007A34C8"/>
    <w:rsid w:val="007A3F16"/>
    <w:rsid w:val="007A5229"/>
    <w:rsid w:val="007A5779"/>
    <w:rsid w:val="007A5A8F"/>
    <w:rsid w:val="007A5BE5"/>
    <w:rsid w:val="007A5EED"/>
    <w:rsid w:val="007A6897"/>
    <w:rsid w:val="007A766E"/>
    <w:rsid w:val="007A7DB4"/>
    <w:rsid w:val="007B0297"/>
    <w:rsid w:val="007B09E5"/>
    <w:rsid w:val="007B0ACE"/>
    <w:rsid w:val="007B1E5D"/>
    <w:rsid w:val="007B24A5"/>
    <w:rsid w:val="007B2B9D"/>
    <w:rsid w:val="007B2CAC"/>
    <w:rsid w:val="007B308B"/>
    <w:rsid w:val="007B31B0"/>
    <w:rsid w:val="007B41EB"/>
    <w:rsid w:val="007B42A1"/>
    <w:rsid w:val="007B4F92"/>
    <w:rsid w:val="007B5010"/>
    <w:rsid w:val="007B5720"/>
    <w:rsid w:val="007B5BB5"/>
    <w:rsid w:val="007B6219"/>
    <w:rsid w:val="007B62E3"/>
    <w:rsid w:val="007B6BD7"/>
    <w:rsid w:val="007B6F82"/>
    <w:rsid w:val="007B707A"/>
    <w:rsid w:val="007B708B"/>
    <w:rsid w:val="007B7264"/>
    <w:rsid w:val="007B78E9"/>
    <w:rsid w:val="007B7CF6"/>
    <w:rsid w:val="007B7F47"/>
    <w:rsid w:val="007C1561"/>
    <w:rsid w:val="007C17AC"/>
    <w:rsid w:val="007C1E27"/>
    <w:rsid w:val="007C4593"/>
    <w:rsid w:val="007C4683"/>
    <w:rsid w:val="007C4CA5"/>
    <w:rsid w:val="007C4CB2"/>
    <w:rsid w:val="007C60DB"/>
    <w:rsid w:val="007C7445"/>
    <w:rsid w:val="007D10D9"/>
    <w:rsid w:val="007D1390"/>
    <w:rsid w:val="007D1948"/>
    <w:rsid w:val="007D195F"/>
    <w:rsid w:val="007D1C07"/>
    <w:rsid w:val="007D2A5E"/>
    <w:rsid w:val="007D2FE3"/>
    <w:rsid w:val="007D319D"/>
    <w:rsid w:val="007D331C"/>
    <w:rsid w:val="007D34BD"/>
    <w:rsid w:val="007D4A3A"/>
    <w:rsid w:val="007D5FCC"/>
    <w:rsid w:val="007D6470"/>
    <w:rsid w:val="007D793A"/>
    <w:rsid w:val="007E01A6"/>
    <w:rsid w:val="007E01DC"/>
    <w:rsid w:val="007E035F"/>
    <w:rsid w:val="007E05E2"/>
    <w:rsid w:val="007E0976"/>
    <w:rsid w:val="007E0C48"/>
    <w:rsid w:val="007E0D50"/>
    <w:rsid w:val="007E0D62"/>
    <w:rsid w:val="007E0F49"/>
    <w:rsid w:val="007E158B"/>
    <w:rsid w:val="007E20B8"/>
    <w:rsid w:val="007E20C9"/>
    <w:rsid w:val="007E2EB9"/>
    <w:rsid w:val="007E32B0"/>
    <w:rsid w:val="007E374B"/>
    <w:rsid w:val="007E4BEE"/>
    <w:rsid w:val="007E50D2"/>
    <w:rsid w:val="007E6C9D"/>
    <w:rsid w:val="007E7A10"/>
    <w:rsid w:val="007F009E"/>
    <w:rsid w:val="007F0331"/>
    <w:rsid w:val="007F087F"/>
    <w:rsid w:val="007F0897"/>
    <w:rsid w:val="007F0945"/>
    <w:rsid w:val="007F0B71"/>
    <w:rsid w:val="007F0C9E"/>
    <w:rsid w:val="007F15A6"/>
    <w:rsid w:val="007F1688"/>
    <w:rsid w:val="007F19E7"/>
    <w:rsid w:val="007F2448"/>
    <w:rsid w:val="007F26E9"/>
    <w:rsid w:val="007F3251"/>
    <w:rsid w:val="007F3992"/>
    <w:rsid w:val="007F4C45"/>
    <w:rsid w:val="007F4E2A"/>
    <w:rsid w:val="007F6A0D"/>
    <w:rsid w:val="007F6ADE"/>
    <w:rsid w:val="007F73B8"/>
    <w:rsid w:val="007F7519"/>
    <w:rsid w:val="007F76D0"/>
    <w:rsid w:val="007F76FC"/>
    <w:rsid w:val="007F78C1"/>
    <w:rsid w:val="0080004A"/>
    <w:rsid w:val="00800CD9"/>
    <w:rsid w:val="00800CF7"/>
    <w:rsid w:val="00801045"/>
    <w:rsid w:val="00801668"/>
    <w:rsid w:val="008017BC"/>
    <w:rsid w:val="00802ACD"/>
    <w:rsid w:val="00803E46"/>
    <w:rsid w:val="00803ECB"/>
    <w:rsid w:val="00804A96"/>
    <w:rsid w:val="00804FA9"/>
    <w:rsid w:val="008055D1"/>
    <w:rsid w:val="0080576C"/>
    <w:rsid w:val="00805C43"/>
    <w:rsid w:val="00805C87"/>
    <w:rsid w:val="00805F8D"/>
    <w:rsid w:val="00806D9D"/>
    <w:rsid w:val="00807570"/>
    <w:rsid w:val="00811030"/>
    <w:rsid w:val="008111BF"/>
    <w:rsid w:val="00812B1F"/>
    <w:rsid w:val="00812EAA"/>
    <w:rsid w:val="008138DB"/>
    <w:rsid w:val="00814D05"/>
    <w:rsid w:val="0081506F"/>
    <w:rsid w:val="0081595A"/>
    <w:rsid w:val="00815A9B"/>
    <w:rsid w:val="00815F22"/>
    <w:rsid w:val="00816BBF"/>
    <w:rsid w:val="0081727B"/>
    <w:rsid w:val="008176B6"/>
    <w:rsid w:val="00817CF9"/>
    <w:rsid w:val="00817E5C"/>
    <w:rsid w:val="00820391"/>
    <w:rsid w:val="00820E3D"/>
    <w:rsid w:val="00821F0B"/>
    <w:rsid w:val="00821FDA"/>
    <w:rsid w:val="00822487"/>
    <w:rsid w:val="0082317A"/>
    <w:rsid w:val="00823222"/>
    <w:rsid w:val="008236F9"/>
    <w:rsid w:val="008244CC"/>
    <w:rsid w:val="00824AFB"/>
    <w:rsid w:val="00824DE9"/>
    <w:rsid w:val="0082523F"/>
    <w:rsid w:val="00826578"/>
    <w:rsid w:val="008268E3"/>
    <w:rsid w:val="00826D20"/>
    <w:rsid w:val="00827206"/>
    <w:rsid w:val="00827D90"/>
    <w:rsid w:val="00827E5E"/>
    <w:rsid w:val="00827EA2"/>
    <w:rsid w:val="008317D0"/>
    <w:rsid w:val="00831C5B"/>
    <w:rsid w:val="00831F3F"/>
    <w:rsid w:val="00832423"/>
    <w:rsid w:val="00832872"/>
    <w:rsid w:val="008329D1"/>
    <w:rsid w:val="00832EB9"/>
    <w:rsid w:val="00833007"/>
    <w:rsid w:val="00833278"/>
    <w:rsid w:val="00833473"/>
    <w:rsid w:val="00833689"/>
    <w:rsid w:val="0083449F"/>
    <w:rsid w:val="008349A7"/>
    <w:rsid w:val="00836AD0"/>
    <w:rsid w:val="00837136"/>
    <w:rsid w:val="0083776F"/>
    <w:rsid w:val="00837CBB"/>
    <w:rsid w:val="00837DC7"/>
    <w:rsid w:val="00837DEE"/>
    <w:rsid w:val="00837F5D"/>
    <w:rsid w:val="00840066"/>
    <w:rsid w:val="0084052A"/>
    <w:rsid w:val="00840812"/>
    <w:rsid w:val="00840880"/>
    <w:rsid w:val="00840BD9"/>
    <w:rsid w:val="00840C9D"/>
    <w:rsid w:val="00841454"/>
    <w:rsid w:val="0084155E"/>
    <w:rsid w:val="00841E55"/>
    <w:rsid w:val="00842938"/>
    <w:rsid w:val="00842C8A"/>
    <w:rsid w:val="00843958"/>
    <w:rsid w:val="00843B6A"/>
    <w:rsid w:val="00843D2D"/>
    <w:rsid w:val="00843FA7"/>
    <w:rsid w:val="00845187"/>
    <w:rsid w:val="008451E2"/>
    <w:rsid w:val="0084554D"/>
    <w:rsid w:val="0084563A"/>
    <w:rsid w:val="00845983"/>
    <w:rsid w:val="00845B83"/>
    <w:rsid w:val="00846076"/>
    <w:rsid w:val="008461D0"/>
    <w:rsid w:val="00846931"/>
    <w:rsid w:val="00847907"/>
    <w:rsid w:val="00847C19"/>
    <w:rsid w:val="00850741"/>
    <w:rsid w:val="0085182B"/>
    <w:rsid w:val="00852E1E"/>
    <w:rsid w:val="008531C7"/>
    <w:rsid w:val="00853255"/>
    <w:rsid w:val="00853343"/>
    <w:rsid w:val="008539C4"/>
    <w:rsid w:val="00854B45"/>
    <w:rsid w:val="008554A6"/>
    <w:rsid w:val="008578A2"/>
    <w:rsid w:val="00857CE9"/>
    <w:rsid w:val="00860D56"/>
    <w:rsid w:val="00860EF3"/>
    <w:rsid w:val="00861BE5"/>
    <w:rsid w:val="00861D86"/>
    <w:rsid w:val="008629E2"/>
    <w:rsid w:val="00862E1F"/>
    <w:rsid w:val="00863D59"/>
    <w:rsid w:val="00863FA4"/>
    <w:rsid w:val="008641B7"/>
    <w:rsid w:val="00864B5E"/>
    <w:rsid w:val="008656A4"/>
    <w:rsid w:val="00867E42"/>
    <w:rsid w:val="00870279"/>
    <w:rsid w:val="0087428A"/>
    <w:rsid w:val="008744EE"/>
    <w:rsid w:val="00874856"/>
    <w:rsid w:val="00874D04"/>
    <w:rsid w:val="008750B2"/>
    <w:rsid w:val="00875FCB"/>
    <w:rsid w:val="008761D2"/>
    <w:rsid w:val="00876A62"/>
    <w:rsid w:val="00876AC2"/>
    <w:rsid w:val="008804E1"/>
    <w:rsid w:val="0088157F"/>
    <w:rsid w:val="00881BFC"/>
    <w:rsid w:val="00882850"/>
    <w:rsid w:val="00882EB9"/>
    <w:rsid w:val="008839CC"/>
    <w:rsid w:val="00883C61"/>
    <w:rsid w:val="00884581"/>
    <w:rsid w:val="0088477C"/>
    <w:rsid w:val="008847B2"/>
    <w:rsid w:val="008847C0"/>
    <w:rsid w:val="0088494B"/>
    <w:rsid w:val="00884FFA"/>
    <w:rsid w:val="00885E28"/>
    <w:rsid w:val="008869F4"/>
    <w:rsid w:val="00886A37"/>
    <w:rsid w:val="00887029"/>
    <w:rsid w:val="00887F6A"/>
    <w:rsid w:val="0089015E"/>
    <w:rsid w:val="00890AD4"/>
    <w:rsid w:val="00890DBE"/>
    <w:rsid w:val="00891269"/>
    <w:rsid w:val="008923E9"/>
    <w:rsid w:val="008926C0"/>
    <w:rsid w:val="00892AFC"/>
    <w:rsid w:val="00892ECD"/>
    <w:rsid w:val="008932CB"/>
    <w:rsid w:val="00893FB0"/>
    <w:rsid w:val="008944F3"/>
    <w:rsid w:val="00894E91"/>
    <w:rsid w:val="00894FA8"/>
    <w:rsid w:val="00895AC2"/>
    <w:rsid w:val="00896F3E"/>
    <w:rsid w:val="00897360"/>
    <w:rsid w:val="00897D76"/>
    <w:rsid w:val="008A0164"/>
    <w:rsid w:val="008A095D"/>
    <w:rsid w:val="008A0D6B"/>
    <w:rsid w:val="008A0ED0"/>
    <w:rsid w:val="008A141A"/>
    <w:rsid w:val="008A18B7"/>
    <w:rsid w:val="008A1FEE"/>
    <w:rsid w:val="008A24DF"/>
    <w:rsid w:val="008A2ADF"/>
    <w:rsid w:val="008A2CBD"/>
    <w:rsid w:val="008A2E1E"/>
    <w:rsid w:val="008A315D"/>
    <w:rsid w:val="008A3560"/>
    <w:rsid w:val="008A4586"/>
    <w:rsid w:val="008A4D73"/>
    <w:rsid w:val="008A500A"/>
    <w:rsid w:val="008A54B2"/>
    <w:rsid w:val="008A5894"/>
    <w:rsid w:val="008A5DDB"/>
    <w:rsid w:val="008A5FB1"/>
    <w:rsid w:val="008A605B"/>
    <w:rsid w:val="008A7303"/>
    <w:rsid w:val="008B0394"/>
    <w:rsid w:val="008B0420"/>
    <w:rsid w:val="008B0559"/>
    <w:rsid w:val="008B131F"/>
    <w:rsid w:val="008B1493"/>
    <w:rsid w:val="008B23A2"/>
    <w:rsid w:val="008B2507"/>
    <w:rsid w:val="008B2B0F"/>
    <w:rsid w:val="008B38A7"/>
    <w:rsid w:val="008B3AEB"/>
    <w:rsid w:val="008B5098"/>
    <w:rsid w:val="008B5282"/>
    <w:rsid w:val="008B5306"/>
    <w:rsid w:val="008B55CF"/>
    <w:rsid w:val="008B5DDC"/>
    <w:rsid w:val="008B6266"/>
    <w:rsid w:val="008B746E"/>
    <w:rsid w:val="008B79EE"/>
    <w:rsid w:val="008B7AE9"/>
    <w:rsid w:val="008C026A"/>
    <w:rsid w:val="008C0504"/>
    <w:rsid w:val="008C0E1A"/>
    <w:rsid w:val="008C0E47"/>
    <w:rsid w:val="008C157D"/>
    <w:rsid w:val="008C1A67"/>
    <w:rsid w:val="008C1FEB"/>
    <w:rsid w:val="008C2466"/>
    <w:rsid w:val="008C37F3"/>
    <w:rsid w:val="008C3E57"/>
    <w:rsid w:val="008C4D9B"/>
    <w:rsid w:val="008C55A3"/>
    <w:rsid w:val="008C5C76"/>
    <w:rsid w:val="008C6083"/>
    <w:rsid w:val="008C6E1E"/>
    <w:rsid w:val="008C6E3D"/>
    <w:rsid w:val="008D03F6"/>
    <w:rsid w:val="008D0636"/>
    <w:rsid w:val="008D0D3C"/>
    <w:rsid w:val="008D25CB"/>
    <w:rsid w:val="008D3728"/>
    <w:rsid w:val="008D385A"/>
    <w:rsid w:val="008D3ABB"/>
    <w:rsid w:val="008D3D16"/>
    <w:rsid w:val="008D3F97"/>
    <w:rsid w:val="008D4145"/>
    <w:rsid w:val="008D51A4"/>
    <w:rsid w:val="008D5540"/>
    <w:rsid w:val="008D5876"/>
    <w:rsid w:val="008D5DF5"/>
    <w:rsid w:val="008D63B5"/>
    <w:rsid w:val="008D6DC0"/>
    <w:rsid w:val="008D7984"/>
    <w:rsid w:val="008D7AC7"/>
    <w:rsid w:val="008D7D0A"/>
    <w:rsid w:val="008E0EB4"/>
    <w:rsid w:val="008E1533"/>
    <w:rsid w:val="008E16C8"/>
    <w:rsid w:val="008E1947"/>
    <w:rsid w:val="008E28FB"/>
    <w:rsid w:val="008E3BA4"/>
    <w:rsid w:val="008E60EB"/>
    <w:rsid w:val="008E62E2"/>
    <w:rsid w:val="008E6492"/>
    <w:rsid w:val="008E6583"/>
    <w:rsid w:val="008E6B67"/>
    <w:rsid w:val="008E6BA4"/>
    <w:rsid w:val="008E6F1C"/>
    <w:rsid w:val="008E76D9"/>
    <w:rsid w:val="008F0387"/>
    <w:rsid w:val="008F0BB7"/>
    <w:rsid w:val="008F3157"/>
    <w:rsid w:val="008F3598"/>
    <w:rsid w:val="008F5612"/>
    <w:rsid w:val="008F5AE7"/>
    <w:rsid w:val="008F6D4A"/>
    <w:rsid w:val="008F70CB"/>
    <w:rsid w:val="009001A5"/>
    <w:rsid w:val="0090196F"/>
    <w:rsid w:val="00902A3C"/>
    <w:rsid w:val="0090364E"/>
    <w:rsid w:val="00903730"/>
    <w:rsid w:val="00903E74"/>
    <w:rsid w:val="00903F6C"/>
    <w:rsid w:val="00904320"/>
    <w:rsid w:val="009046C1"/>
    <w:rsid w:val="009049D3"/>
    <w:rsid w:val="00905ECA"/>
    <w:rsid w:val="0090734C"/>
    <w:rsid w:val="00907A5A"/>
    <w:rsid w:val="00907B05"/>
    <w:rsid w:val="00907F2D"/>
    <w:rsid w:val="00910DD0"/>
    <w:rsid w:val="00910F13"/>
    <w:rsid w:val="00911B0D"/>
    <w:rsid w:val="00912CA4"/>
    <w:rsid w:val="00913852"/>
    <w:rsid w:val="00913AFE"/>
    <w:rsid w:val="00914314"/>
    <w:rsid w:val="00914DBD"/>
    <w:rsid w:val="009151B6"/>
    <w:rsid w:val="009152C9"/>
    <w:rsid w:val="009153AE"/>
    <w:rsid w:val="00915512"/>
    <w:rsid w:val="009159EF"/>
    <w:rsid w:val="00915A66"/>
    <w:rsid w:val="00916798"/>
    <w:rsid w:val="00916E3F"/>
    <w:rsid w:val="009179D3"/>
    <w:rsid w:val="00917D58"/>
    <w:rsid w:val="0092022D"/>
    <w:rsid w:val="00920D67"/>
    <w:rsid w:val="0092177F"/>
    <w:rsid w:val="00921F6C"/>
    <w:rsid w:val="00922001"/>
    <w:rsid w:val="0092245E"/>
    <w:rsid w:val="00922D66"/>
    <w:rsid w:val="00922FC2"/>
    <w:rsid w:val="00923266"/>
    <w:rsid w:val="00923316"/>
    <w:rsid w:val="00924464"/>
    <w:rsid w:val="00926ABD"/>
    <w:rsid w:val="00926F7C"/>
    <w:rsid w:val="00927DEF"/>
    <w:rsid w:val="0093005C"/>
    <w:rsid w:val="00930AE2"/>
    <w:rsid w:val="00930CBB"/>
    <w:rsid w:val="0093129F"/>
    <w:rsid w:val="009314DF"/>
    <w:rsid w:val="00932769"/>
    <w:rsid w:val="00932CCA"/>
    <w:rsid w:val="00932E86"/>
    <w:rsid w:val="009332CA"/>
    <w:rsid w:val="00933674"/>
    <w:rsid w:val="00933842"/>
    <w:rsid w:val="00933F3B"/>
    <w:rsid w:val="00933F7B"/>
    <w:rsid w:val="0093439D"/>
    <w:rsid w:val="009347A3"/>
    <w:rsid w:val="009358F9"/>
    <w:rsid w:val="00935916"/>
    <w:rsid w:val="00935B72"/>
    <w:rsid w:val="009360C0"/>
    <w:rsid w:val="00937847"/>
    <w:rsid w:val="00937A59"/>
    <w:rsid w:val="00937C04"/>
    <w:rsid w:val="009405D2"/>
    <w:rsid w:val="009407AB"/>
    <w:rsid w:val="009408D4"/>
    <w:rsid w:val="00941730"/>
    <w:rsid w:val="00942348"/>
    <w:rsid w:val="00942899"/>
    <w:rsid w:val="00942ADB"/>
    <w:rsid w:val="009434CF"/>
    <w:rsid w:val="009434D9"/>
    <w:rsid w:val="00943740"/>
    <w:rsid w:val="0094400B"/>
    <w:rsid w:val="00944433"/>
    <w:rsid w:val="00944537"/>
    <w:rsid w:val="00944DB6"/>
    <w:rsid w:val="00945812"/>
    <w:rsid w:val="009458C3"/>
    <w:rsid w:val="009468BF"/>
    <w:rsid w:val="00946EA4"/>
    <w:rsid w:val="00947FA6"/>
    <w:rsid w:val="00950B1A"/>
    <w:rsid w:val="00950F8C"/>
    <w:rsid w:val="00951603"/>
    <w:rsid w:val="00951A2D"/>
    <w:rsid w:val="00951C18"/>
    <w:rsid w:val="00951EAE"/>
    <w:rsid w:val="009523F0"/>
    <w:rsid w:val="0095245D"/>
    <w:rsid w:val="00952CFC"/>
    <w:rsid w:val="009534B7"/>
    <w:rsid w:val="00953911"/>
    <w:rsid w:val="00954B48"/>
    <w:rsid w:val="0095500B"/>
    <w:rsid w:val="009550D9"/>
    <w:rsid w:val="00955437"/>
    <w:rsid w:val="00955A43"/>
    <w:rsid w:val="00955C9D"/>
    <w:rsid w:val="00956584"/>
    <w:rsid w:val="009603A3"/>
    <w:rsid w:val="0096059B"/>
    <w:rsid w:val="00960827"/>
    <w:rsid w:val="0096089D"/>
    <w:rsid w:val="009612A8"/>
    <w:rsid w:val="00961AA3"/>
    <w:rsid w:val="00961CFE"/>
    <w:rsid w:val="009621BC"/>
    <w:rsid w:val="009624C3"/>
    <w:rsid w:val="009632FE"/>
    <w:rsid w:val="00963CDF"/>
    <w:rsid w:val="009641E8"/>
    <w:rsid w:val="009649D7"/>
    <w:rsid w:val="00964C75"/>
    <w:rsid w:val="009652A7"/>
    <w:rsid w:val="00965DF9"/>
    <w:rsid w:val="009663A6"/>
    <w:rsid w:val="00967596"/>
    <w:rsid w:val="0096759B"/>
    <w:rsid w:val="00967B66"/>
    <w:rsid w:val="00967D7A"/>
    <w:rsid w:val="00967F37"/>
    <w:rsid w:val="00967F4F"/>
    <w:rsid w:val="0097072D"/>
    <w:rsid w:val="00970C71"/>
    <w:rsid w:val="00970C8C"/>
    <w:rsid w:val="0097262A"/>
    <w:rsid w:val="009726C6"/>
    <w:rsid w:val="009728A7"/>
    <w:rsid w:val="00973D75"/>
    <w:rsid w:val="00973DFC"/>
    <w:rsid w:val="00974BB9"/>
    <w:rsid w:val="009752AC"/>
    <w:rsid w:val="00975507"/>
    <w:rsid w:val="00975CF7"/>
    <w:rsid w:val="00976D36"/>
    <w:rsid w:val="0097758A"/>
    <w:rsid w:val="0097774E"/>
    <w:rsid w:val="0098088F"/>
    <w:rsid w:val="00980BD3"/>
    <w:rsid w:val="009810F9"/>
    <w:rsid w:val="009813F1"/>
    <w:rsid w:val="00981621"/>
    <w:rsid w:val="0098174D"/>
    <w:rsid w:val="00984072"/>
    <w:rsid w:val="00984296"/>
    <w:rsid w:val="009844B0"/>
    <w:rsid w:val="009844EA"/>
    <w:rsid w:val="00984707"/>
    <w:rsid w:val="00984F7C"/>
    <w:rsid w:val="00984FD5"/>
    <w:rsid w:val="00986EB8"/>
    <w:rsid w:val="00987C87"/>
    <w:rsid w:val="00987D88"/>
    <w:rsid w:val="0099070C"/>
    <w:rsid w:val="00991E32"/>
    <w:rsid w:val="00991FE0"/>
    <w:rsid w:val="00992F99"/>
    <w:rsid w:val="009930A9"/>
    <w:rsid w:val="0099361E"/>
    <w:rsid w:val="0099395B"/>
    <w:rsid w:val="009942E2"/>
    <w:rsid w:val="00994695"/>
    <w:rsid w:val="00994A05"/>
    <w:rsid w:val="00995077"/>
    <w:rsid w:val="0099604F"/>
    <w:rsid w:val="009965A1"/>
    <w:rsid w:val="00997F54"/>
    <w:rsid w:val="009A01E7"/>
    <w:rsid w:val="009A04E1"/>
    <w:rsid w:val="009A05B7"/>
    <w:rsid w:val="009A0D96"/>
    <w:rsid w:val="009A1EDD"/>
    <w:rsid w:val="009A224E"/>
    <w:rsid w:val="009A2AD5"/>
    <w:rsid w:val="009A2CD6"/>
    <w:rsid w:val="009A301C"/>
    <w:rsid w:val="009A3E94"/>
    <w:rsid w:val="009A3F8B"/>
    <w:rsid w:val="009A4B53"/>
    <w:rsid w:val="009A5366"/>
    <w:rsid w:val="009A545C"/>
    <w:rsid w:val="009A573C"/>
    <w:rsid w:val="009A62AD"/>
    <w:rsid w:val="009A6A8E"/>
    <w:rsid w:val="009A75E9"/>
    <w:rsid w:val="009A7E2E"/>
    <w:rsid w:val="009B25AC"/>
    <w:rsid w:val="009B25F3"/>
    <w:rsid w:val="009B2F5E"/>
    <w:rsid w:val="009B2FB9"/>
    <w:rsid w:val="009B38F3"/>
    <w:rsid w:val="009B3CB3"/>
    <w:rsid w:val="009B4284"/>
    <w:rsid w:val="009B4343"/>
    <w:rsid w:val="009B4A60"/>
    <w:rsid w:val="009B4EEE"/>
    <w:rsid w:val="009B52A6"/>
    <w:rsid w:val="009B5A6C"/>
    <w:rsid w:val="009B6042"/>
    <w:rsid w:val="009B60CF"/>
    <w:rsid w:val="009B6277"/>
    <w:rsid w:val="009B6B72"/>
    <w:rsid w:val="009B6FE0"/>
    <w:rsid w:val="009B75FF"/>
    <w:rsid w:val="009B78D5"/>
    <w:rsid w:val="009C0276"/>
    <w:rsid w:val="009C1149"/>
    <w:rsid w:val="009C1C1D"/>
    <w:rsid w:val="009C2AB9"/>
    <w:rsid w:val="009C2BA8"/>
    <w:rsid w:val="009C37B3"/>
    <w:rsid w:val="009C4311"/>
    <w:rsid w:val="009C432D"/>
    <w:rsid w:val="009C46AB"/>
    <w:rsid w:val="009C4AF9"/>
    <w:rsid w:val="009C5299"/>
    <w:rsid w:val="009C5499"/>
    <w:rsid w:val="009C5546"/>
    <w:rsid w:val="009C6184"/>
    <w:rsid w:val="009C644E"/>
    <w:rsid w:val="009C6A60"/>
    <w:rsid w:val="009C751F"/>
    <w:rsid w:val="009C7C39"/>
    <w:rsid w:val="009D00A0"/>
    <w:rsid w:val="009D015E"/>
    <w:rsid w:val="009D0242"/>
    <w:rsid w:val="009D03C2"/>
    <w:rsid w:val="009D1104"/>
    <w:rsid w:val="009D1C67"/>
    <w:rsid w:val="009D2ADC"/>
    <w:rsid w:val="009D2AE3"/>
    <w:rsid w:val="009D306F"/>
    <w:rsid w:val="009D3749"/>
    <w:rsid w:val="009D4175"/>
    <w:rsid w:val="009D4425"/>
    <w:rsid w:val="009D4548"/>
    <w:rsid w:val="009D4CA4"/>
    <w:rsid w:val="009D51DC"/>
    <w:rsid w:val="009D62B3"/>
    <w:rsid w:val="009D65A9"/>
    <w:rsid w:val="009D6813"/>
    <w:rsid w:val="009D6848"/>
    <w:rsid w:val="009D6DEF"/>
    <w:rsid w:val="009D70BE"/>
    <w:rsid w:val="009E012E"/>
    <w:rsid w:val="009E01EA"/>
    <w:rsid w:val="009E10ED"/>
    <w:rsid w:val="009E15D0"/>
    <w:rsid w:val="009E2121"/>
    <w:rsid w:val="009E2B85"/>
    <w:rsid w:val="009E354B"/>
    <w:rsid w:val="009E3715"/>
    <w:rsid w:val="009E4292"/>
    <w:rsid w:val="009E4688"/>
    <w:rsid w:val="009E5E00"/>
    <w:rsid w:val="009E64D5"/>
    <w:rsid w:val="009E6519"/>
    <w:rsid w:val="009E6E53"/>
    <w:rsid w:val="009E78F4"/>
    <w:rsid w:val="009E7C10"/>
    <w:rsid w:val="009F02F1"/>
    <w:rsid w:val="009F040E"/>
    <w:rsid w:val="009F0CD1"/>
    <w:rsid w:val="009F1ABA"/>
    <w:rsid w:val="009F1E71"/>
    <w:rsid w:val="009F318F"/>
    <w:rsid w:val="009F397B"/>
    <w:rsid w:val="009F40B5"/>
    <w:rsid w:val="009F4259"/>
    <w:rsid w:val="009F429F"/>
    <w:rsid w:val="009F4A3B"/>
    <w:rsid w:val="009F4F68"/>
    <w:rsid w:val="009F52B9"/>
    <w:rsid w:val="009F52C1"/>
    <w:rsid w:val="009F5C06"/>
    <w:rsid w:val="009F5CCF"/>
    <w:rsid w:val="009F6770"/>
    <w:rsid w:val="009F6ECD"/>
    <w:rsid w:val="009F6F84"/>
    <w:rsid w:val="009F7B63"/>
    <w:rsid w:val="00A004C0"/>
    <w:rsid w:val="00A0096A"/>
    <w:rsid w:val="00A00A6F"/>
    <w:rsid w:val="00A0160F"/>
    <w:rsid w:val="00A01A9D"/>
    <w:rsid w:val="00A01E36"/>
    <w:rsid w:val="00A024D9"/>
    <w:rsid w:val="00A03038"/>
    <w:rsid w:val="00A030CC"/>
    <w:rsid w:val="00A03B45"/>
    <w:rsid w:val="00A03F3D"/>
    <w:rsid w:val="00A04306"/>
    <w:rsid w:val="00A04762"/>
    <w:rsid w:val="00A058A1"/>
    <w:rsid w:val="00A05923"/>
    <w:rsid w:val="00A11083"/>
    <w:rsid w:val="00A11486"/>
    <w:rsid w:val="00A12046"/>
    <w:rsid w:val="00A12575"/>
    <w:rsid w:val="00A138C8"/>
    <w:rsid w:val="00A1401F"/>
    <w:rsid w:val="00A14915"/>
    <w:rsid w:val="00A14D3A"/>
    <w:rsid w:val="00A14DBD"/>
    <w:rsid w:val="00A14E51"/>
    <w:rsid w:val="00A1623B"/>
    <w:rsid w:val="00A163DD"/>
    <w:rsid w:val="00A164FD"/>
    <w:rsid w:val="00A16BE8"/>
    <w:rsid w:val="00A2054F"/>
    <w:rsid w:val="00A20830"/>
    <w:rsid w:val="00A2221A"/>
    <w:rsid w:val="00A22EE9"/>
    <w:rsid w:val="00A23A95"/>
    <w:rsid w:val="00A24AAC"/>
    <w:rsid w:val="00A24FF6"/>
    <w:rsid w:val="00A2544C"/>
    <w:rsid w:val="00A25679"/>
    <w:rsid w:val="00A25939"/>
    <w:rsid w:val="00A2606F"/>
    <w:rsid w:val="00A264E9"/>
    <w:rsid w:val="00A26605"/>
    <w:rsid w:val="00A27963"/>
    <w:rsid w:val="00A32018"/>
    <w:rsid w:val="00A3215B"/>
    <w:rsid w:val="00A32493"/>
    <w:rsid w:val="00A324C2"/>
    <w:rsid w:val="00A32AFB"/>
    <w:rsid w:val="00A3377A"/>
    <w:rsid w:val="00A33F1B"/>
    <w:rsid w:val="00A34028"/>
    <w:rsid w:val="00A34928"/>
    <w:rsid w:val="00A34D92"/>
    <w:rsid w:val="00A3511C"/>
    <w:rsid w:val="00A35C42"/>
    <w:rsid w:val="00A35D7E"/>
    <w:rsid w:val="00A35DC3"/>
    <w:rsid w:val="00A3670F"/>
    <w:rsid w:val="00A36C84"/>
    <w:rsid w:val="00A4102D"/>
    <w:rsid w:val="00A41FFA"/>
    <w:rsid w:val="00A4261E"/>
    <w:rsid w:val="00A42AF0"/>
    <w:rsid w:val="00A42DE9"/>
    <w:rsid w:val="00A43040"/>
    <w:rsid w:val="00A4308B"/>
    <w:rsid w:val="00A43491"/>
    <w:rsid w:val="00A43E13"/>
    <w:rsid w:val="00A4442A"/>
    <w:rsid w:val="00A4475A"/>
    <w:rsid w:val="00A45461"/>
    <w:rsid w:val="00A45F8F"/>
    <w:rsid w:val="00A46AD7"/>
    <w:rsid w:val="00A471D8"/>
    <w:rsid w:val="00A4763F"/>
    <w:rsid w:val="00A50450"/>
    <w:rsid w:val="00A5084D"/>
    <w:rsid w:val="00A50D0D"/>
    <w:rsid w:val="00A51974"/>
    <w:rsid w:val="00A5212B"/>
    <w:rsid w:val="00A5225D"/>
    <w:rsid w:val="00A52A91"/>
    <w:rsid w:val="00A53AD7"/>
    <w:rsid w:val="00A53B0E"/>
    <w:rsid w:val="00A54513"/>
    <w:rsid w:val="00A54B16"/>
    <w:rsid w:val="00A55145"/>
    <w:rsid w:val="00A5565C"/>
    <w:rsid w:val="00A55B1D"/>
    <w:rsid w:val="00A55EFB"/>
    <w:rsid w:val="00A5604A"/>
    <w:rsid w:val="00A5729F"/>
    <w:rsid w:val="00A5768E"/>
    <w:rsid w:val="00A57C44"/>
    <w:rsid w:val="00A60071"/>
    <w:rsid w:val="00A605A7"/>
    <w:rsid w:val="00A60670"/>
    <w:rsid w:val="00A60E2D"/>
    <w:rsid w:val="00A6101C"/>
    <w:rsid w:val="00A61514"/>
    <w:rsid w:val="00A6221A"/>
    <w:rsid w:val="00A6297A"/>
    <w:rsid w:val="00A6319E"/>
    <w:rsid w:val="00A63A00"/>
    <w:rsid w:val="00A6403A"/>
    <w:rsid w:val="00A64F79"/>
    <w:rsid w:val="00A6517E"/>
    <w:rsid w:val="00A65A4E"/>
    <w:rsid w:val="00A65C1F"/>
    <w:rsid w:val="00A666B7"/>
    <w:rsid w:val="00A674A7"/>
    <w:rsid w:val="00A676E8"/>
    <w:rsid w:val="00A7047B"/>
    <w:rsid w:val="00A70D0B"/>
    <w:rsid w:val="00A70ECC"/>
    <w:rsid w:val="00A717BA"/>
    <w:rsid w:val="00A71829"/>
    <w:rsid w:val="00A71A46"/>
    <w:rsid w:val="00A72991"/>
    <w:rsid w:val="00A72CAD"/>
    <w:rsid w:val="00A73D7C"/>
    <w:rsid w:val="00A754BA"/>
    <w:rsid w:val="00A7603E"/>
    <w:rsid w:val="00A7667D"/>
    <w:rsid w:val="00A77866"/>
    <w:rsid w:val="00A779F7"/>
    <w:rsid w:val="00A77ADB"/>
    <w:rsid w:val="00A809CD"/>
    <w:rsid w:val="00A80BDD"/>
    <w:rsid w:val="00A82581"/>
    <w:rsid w:val="00A83EEB"/>
    <w:rsid w:val="00A83EEF"/>
    <w:rsid w:val="00A83F52"/>
    <w:rsid w:val="00A8429A"/>
    <w:rsid w:val="00A84B08"/>
    <w:rsid w:val="00A84D8A"/>
    <w:rsid w:val="00A851B1"/>
    <w:rsid w:val="00A85F1A"/>
    <w:rsid w:val="00A862A4"/>
    <w:rsid w:val="00A8644F"/>
    <w:rsid w:val="00A86621"/>
    <w:rsid w:val="00A90714"/>
    <w:rsid w:val="00A90B5C"/>
    <w:rsid w:val="00A911B3"/>
    <w:rsid w:val="00A91A9B"/>
    <w:rsid w:val="00A91D12"/>
    <w:rsid w:val="00A91F0E"/>
    <w:rsid w:val="00A91F47"/>
    <w:rsid w:val="00A9228C"/>
    <w:rsid w:val="00A92563"/>
    <w:rsid w:val="00A93D33"/>
    <w:rsid w:val="00A94073"/>
    <w:rsid w:val="00A94222"/>
    <w:rsid w:val="00A94330"/>
    <w:rsid w:val="00A95910"/>
    <w:rsid w:val="00A962B2"/>
    <w:rsid w:val="00A966F7"/>
    <w:rsid w:val="00A96D92"/>
    <w:rsid w:val="00A970CA"/>
    <w:rsid w:val="00A9745B"/>
    <w:rsid w:val="00A97978"/>
    <w:rsid w:val="00A97D74"/>
    <w:rsid w:val="00AA16B0"/>
    <w:rsid w:val="00AA196C"/>
    <w:rsid w:val="00AA1D96"/>
    <w:rsid w:val="00AA20EA"/>
    <w:rsid w:val="00AA27C6"/>
    <w:rsid w:val="00AA2D5B"/>
    <w:rsid w:val="00AA2E86"/>
    <w:rsid w:val="00AA2EA4"/>
    <w:rsid w:val="00AA2EF3"/>
    <w:rsid w:val="00AA36CB"/>
    <w:rsid w:val="00AA3AC3"/>
    <w:rsid w:val="00AA3CBB"/>
    <w:rsid w:val="00AA3D42"/>
    <w:rsid w:val="00AA4315"/>
    <w:rsid w:val="00AA4EDF"/>
    <w:rsid w:val="00AA5347"/>
    <w:rsid w:val="00AA58AF"/>
    <w:rsid w:val="00AA5C38"/>
    <w:rsid w:val="00AA6398"/>
    <w:rsid w:val="00AA6A0C"/>
    <w:rsid w:val="00AA7EA4"/>
    <w:rsid w:val="00AA7F4E"/>
    <w:rsid w:val="00AB1462"/>
    <w:rsid w:val="00AB17C8"/>
    <w:rsid w:val="00AB1E9A"/>
    <w:rsid w:val="00AB33CF"/>
    <w:rsid w:val="00AB35C5"/>
    <w:rsid w:val="00AB3FCF"/>
    <w:rsid w:val="00AB44F6"/>
    <w:rsid w:val="00AB47F8"/>
    <w:rsid w:val="00AB4897"/>
    <w:rsid w:val="00AB633B"/>
    <w:rsid w:val="00AB65AD"/>
    <w:rsid w:val="00AB661A"/>
    <w:rsid w:val="00AB6AB1"/>
    <w:rsid w:val="00AB7171"/>
    <w:rsid w:val="00AC0853"/>
    <w:rsid w:val="00AC1262"/>
    <w:rsid w:val="00AC1C1D"/>
    <w:rsid w:val="00AC2097"/>
    <w:rsid w:val="00AC2CFB"/>
    <w:rsid w:val="00AC34ED"/>
    <w:rsid w:val="00AC3625"/>
    <w:rsid w:val="00AC368C"/>
    <w:rsid w:val="00AC3B10"/>
    <w:rsid w:val="00AC3F03"/>
    <w:rsid w:val="00AC4FB3"/>
    <w:rsid w:val="00AC55A3"/>
    <w:rsid w:val="00AC583A"/>
    <w:rsid w:val="00AC5BBF"/>
    <w:rsid w:val="00AC7723"/>
    <w:rsid w:val="00AC7862"/>
    <w:rsid w:val="00AD0612"/>
    <w:rsid w:val="00AD1347"/>
    <w:rsid w:val="00AD1BEE"/>
    <w:rsid w:val="00AD1D44"/>
    <w:rsid w:val="00AD3030"/>
    <w:rsid w:val="00AD3CD2"/>
    <w:rsid w:val="00AD40F1"/>
    <w:rsid w:val="00AD4E10"/>
    <w:rsid w:val="00AD5785"/>
    <w:rsid w:val="00AD7DB0"/>
    <w:rsid w:val="00AE0C66"/>
    <w:rsid w:val="00AE0FBD"/>
    <w:rsid w:val="00AE1677"/>
    <w:rsid w:val="00AE1827"/>
    <w:rsid w:val="00AE1D1D"/>
    <w:rsid w:val="00AE1EDF"/>
    <w:rsid w:val="00AE1F33"/>
    <w:rsid w:val="00AE215F"/>
    <w:rsid w:val="00AE2577"/>
    <w:rsid w:val="00AE2EED"/>
    <w:rsid w:val="00AE384E"/>
    <w:rsid w:val="00AE4686"/>
    <w:rsid w:val="00AE47C5"/>
    <w:rsid w:val="00AE518B"/>
    <w:rsid w:val="00AE5484"/>
    <w:rsid w:val="00AE5925"/>
    <w:rsid w:val="00AE5D9F"/>
    <w:rsid w:val="00AE6061"/>
    <w:rsid w:val="00AE6269"/>
    <w:rsid w:val="00AF0223"/>
    <w:rsid w:val="00AF0284"/>
    <w:rsid w:val="00AF26BC"/>
    <w:rsid w:val="00AF3234"/>
    <w:rsid w:val="00AF4034"/>
    <w:rsid w:val="00AF45B3"/>
    <w:rsid w:val="00AF4829"/>
    <w:rsid w:val="00AF5B66"/>
    <w:rsid w:val="00AF6CD3"/>
    <w:rsid w:val="00AF74C2"/>
    <w:rsid w:val="00AF761D"/>
    <w:rsid w:val="00AF7A2E"/>
    <w:rsid w:val="00AF7B97"/>
    <w:rsid w:val="00B003FD"/>
    <w:rsid w:val="00B00BDC"/>
    <w:rsid w:val="00B01067"/>
    <w:rsid w:val="00B018A2"/>
    <w:rsid w:val="00B019B6"/>
    <w:rsid w:val="00B01A9F"/>
    <w:rsid w:val="00B01B14"/>
    <w:rsid w:val="00B01BD8"/>
    <w:rsid w:val="00B01CA9"/>
    <w:rsid w:val="00B023B7"/>
    <w:rsid w:val="00B045BA"/>
    <w:rsid w:val="00B04876"/>
    <w:rsid w:val="00B0532B"/>
    <w:rsid w:val="00B05857"/>
    <w:rsid w:val="00B05E82"/>
    <w:rsid w:val="00B05F12"/>
    <w:rsid w:val="00B076F9"/>
    <w:rsid w:val="00B07832"/>
    <w:rsid w:val="00B07CFB"/>
    <w:rsid w:val="00B07D1C"/>
    <w:rsid w:val="00B07FE0"/>
    <w:rsid w:val="00B103D3"/>
    <w:rsid w:val="00B1070F"/>
    <w:rsid w:val="00B10B0E"/>
    <w:rsid w:val="00B114F4"/>
    <w:rsid w:val="00B1164A"/>
    <w:rsid w:val="00B11A39"/>
    <w:rsid w:val="00B11B5D"/>
    <w:rsid w:val="00B11C31"/>
    <w:rsid w:val="00B13097"/>
    <w:rsid w:val="00B140C9"/>
    <w:rsid w:val="00B1427F"/>
    <w:rsid w:val="00B14486"/>
    <w:rsid w:val="00B14518"/>
    <w:rsid w:val="00B14581"/>
    <w:rsid w:val="00B15570"/>
    <w:rsid w:val="00B15834"/>
    <w:rsid w:val="00B15C5A"/>
    <w:rsid w:val="00B15E27"/>
    <w:rsid w:val="00B1600E"/>
    <w:rsid w:val="00B164BC"/>
    <w:rsid w:val="00B16528"/>
    <w:rsid w:val="00B16572"/>
    <w:rsid w:val="00B1663F"/>
    <w:rsid w:val="00B16B8E"/>
    <w:rsid w:val="00B17195"/>
    <w:rsid w:val="00B17A69"/>
    <w:rsid w:val="00B17B2F"/>
    <w:rsid w:val="00B20218"/>
    <w:rsid w:val="00B2086F"/>
    <w:rsid w:val="00B20BD5"/>
    <w:rsid w:val="00B216E0"/>
    <w:rsid w:val="00B21A66"/>
    <w:rsid w:val="00B21FB3"/>
    <w:rsid w:val="00B22430"/>
    <w:rsid w:val="00B22481"/>
    <w:rsid w:val="00B23788"/>
    <w:rsid w:val="00B23FB1"/>
    <w:rsid w:val="00B244EE"/>
    <w:rsid w:val="00B2467D"/>
    <w:rsid w:val="00B24914"/>
    <w:rsid w:val="00B26136"/>
    <w:rsid w:val="00B26518"/>
    <w:rsid w:val="00B26901"/>
    <w:rsid w:val="00B27A2D"/>
    <w:rsid w:val="00B30B94"/>
    <w:rsid w:val="00B31E21"/>
    <w:rsid w:val="00B32784"/>
    <w:rsid w:val="00B33640"/>
    <w:rsid w:val="00B34432"/>
    <w:rsid w:val="00B34767"/>
    <w:rsid w:val="00B34FF4"/>
    <w:rsid w:val="00B363D8"/>
    <w:rsid w:val="00B402B2"/>
    <w:rsid w:val="00B406DB"/>
    <w:rsid w:val="00B4131F"/>
    <w:rsid w:val="00B4136C"/>
    <w:rsid w:val="00B41D06"/>
    <w:rsid w:val="00B43CB9"/>
    <w:rsid w:val="00B44693"/>
    <w:rsid w:val="00B449FF"/>
    <w:rsid w:val="00B44C0A"/>
    <w:rsid w:val="00B4578C"/>
    <w:rsid w:val="00B460DC"/>
    <w:rsid w:val="00B463B8"/>
    <w:rsid w:val="00B466C6"/>
    <w:rsid w:val="00B46DD4"/>
    <w:rsid w:val="00B47A4F"/>
    <w:rsid w:val="00B47B85"/>
    <w:rsid w:val="00B50446"/>
    <w:rsid w:val="00B51035"/>
    <w:rsid w:val="00B5124B"/>
    <w:rsid w:val="00B51416"/>
    <w:rsid w:val="00B517B4"/>
    <w:rsid w:val="00B51856"/>
    <w:rsid w:val="00B52838"/>
    <w:rsid w:val="00B52D81"/>
    <w:rsid w:val="00B536FC"/>
    <w:rsid w:val="00B53E6D"/>
    <w:rsid w:val="00B54834"/>
    <w:rsid w:val="00B55646"/>
    <w:rsid w:val="00B5613B"/>
    <w:rsid w:val="00B56D44"/>
    <w:rsid w:val="00B57428"/>
    <w:rsid w:val="00B5771A"/>
    <w:rsid w:val="00B57DD0"/>
    <w:rsid w:val="00B61A02"/>
    <w:rsid w:val="00B6291E"/>
    <w:rsid w:val="00B62BC5"/>
    <w:rsid w:val="00B62E28"/>
    <w:rsid w:val="00B63433"/>
    <w:rsid w:val="00B634B4"/>
    <w:rsid w:val="00B63E7E"/>
    <w:rsid w:val="00B64CA4"/>
    <w:rsid w:val="00B652B1"/>
    <w:rsid w:val="00B663B4"/>
    <w:rsid w:val="00B66506"/>
    <w:rsid w:val="00B666E5"/>
    <w:rsid w:val="00B669E0"/>
    <w:rsid w:val="00B672EC"/>
    <w:rsid w:val="00B67CFD"/>
    <w:rsid w:val="00B704C1"/>
    <w:rsid w:val="00B70540"/>
    <w:rsid w:val="00B711B8"/>
    <w:rsid w:val="00B711DF"/>
    <w:rsid w:val="00B7178C"/>
    <w:rsid w:val="00B71F27"/>
    <w:rsid w:val="00B72154"/>
    <w:rsid w:val="00B7241E"/>
    <w:rsid w:val="00B72DC8"/>
    <w:rsid w:val="00B7331C"/>
    <w:rsid w:val="00B737DA"/>
    <w:rsid w:val="00B73A5E"/>
    <w:rsid w:val="00B75220"/>
    <w:rsid w:val="00B7607A"/>
    <w:rsid w:val="00B7610E"/>
    <w:rsid w:val="00B762D6"/>
    <w:rsid w:val="00B767A4"/>
    <w:rsid w:val="00B77C07"/>
    <w:rsid w:val="00B77D72"/>
    <w:rsid w:val="00B77F5D"/>
    <w:rsid w:val="00B80FE2"/>
    <w:rsid w:val="00B8114F"/>
    <w:rsid w:val="00B81187"/>
    <w:rsid w:val="00B82FAF"/>
    <w:rsid w:val="00B83768"/>
    <w:rsid w:val="00B840DA"/>
    <w:rsid w:val="00B8424C"/>
    <w:rsid w:val="00B8488F"/>
    <w:rsid w:val="00B84CB0"/>
    <w:rsid w:val="00B84F26"/>
    <w:rsid w:val="00B854E7"/>
    <w:rsid w:val="00B85A8F"/>
    <w:rsid w:val="00B8618D"/>
    <w:rsid w:val="00B86AFB"/>
    <w:rsid w:val="00B86B5D"/>
    <w:rsid w:val="00B86B9F"/>
    <w:rsid w:val="00B87196"/>
    <w:rsid w:val="00B87717"/>
    <w:rsid w:val="00B87D72"/>
    <w:rsid w:val="00B9023A"/>
    <w:rsid w:val="00B9079E"/>
    <w:rsid w:val="00B90C8B"/>
    <w:rsid w:val="00B91881"/>
    <w:rsid w:val="00B92454"/>
    <w:rsid w:val="00B93650"/>
    <w:rsid w:val="00B949DC"/>
    <w:rsid w:val="00B94E90"/>
    <w:rsid w:val="00B94F8D"/>
    <w:rsid w:val="00B950DE"/>
    <w:rsid w:val="00B95122"/>
    <w:rsid w:val="00B951F6"/>
    <w:rsid w:val="00B9578B"/>
    <w:rsid w:val="00B96299"/>
    <w:rsid w:val="00B9676C"/>
    <w:rsid w:val="00B96978"/>
    <w:rsid w:val="00B96A40"/>
    <w:rsid w:val="00B978B3"/>
    <w:rsid w:val="00B97F5C"/>
    <w:rsid w:val="00BA037D"/>
    <w:rsid w:val="00BA0E19"/>
    <w:rsid w:val="00BA20CF"/>
    <w:rsid w:val="00BA394E"/>
    <w:rsid w:val="00BA396D"/>
    <w:rsid w:val="00BA4D32"/>
    <w:rsid w:val="00BA5367"/>
    <w:rsid w:val="00BA5559"/>
    <w:rsid w:val="00BA5651"/>
    <w:rsid w:val="00BA5808"/>
    <w:rsid w:val="00BA652D"/>
    <w:rsid w:val="00BA696E"/>
    <w:rsid w:val="00BA7475"/>
    <w:rsid w:val="00BA7698"/>
    <w:rsid w:val="00BA7C95"/>
    <w:rsid w:val="00BB01BE"/>
    <w:rsid w:val="00BB0656"/>
    <w:rsid w:val="00BB099E"/>
    <w:rsid w:val="00BB09F5"/>
    <w:rsid w:val="00BB0D7C"/>
    <w:rsid w:val="00BB1118"/>
    <w:rsid w:val="00BB1B00"/>
    <w:rsid w:val="00BB2248"/>
    <w:rsid w:val="00BB2E8A"/>
    <w:rsid w:val="00BB3822"/>
    <w:rsid w:val="00BB383F"/>
    <w:rsid w:val="00BB4204"/>
    <w:rsid w:val="00BB45D8"/>
    <w:rsid w:val="00BB47D4"/>
    <w:rsid w:val="00BB49F3"/>
    <w:rsid w:val="00BB4A43"/>
    <w:rsid w:val="00BB5C08"/>
    <w:rsid w:val="00BB5E59"/>
    <w:rsid w:val="00BB7519"/>
    <w:rsid w:val="00BC0F61"/>
    <w:rsid w:val="00BC127D"/>
    <w:rsid w:val="00BC18E2"/>
    <w:rsid w:val="00BC29DA"/>
    <w:rsid w:val="00BC327D"/>
    <w:rsid w:val="00BC3917"/>
    <w:rsid w:val="00BC440D"/>
    <w:rsid w:val="00BC466C"/>
    <w:rsid w:val="00BC4E1E"/>
    <w:rsid w:val="00BC5FE5"/>
    <w:rsid w:val="00BC72C9"/>
    <w:rsid w:val="00BC7BD7"/>
    <w:rsid w:val="00BC7DA9"/>
    <w:rsid w:val="00BC7F94"/>
    <w:rsid w:val="00BD0F13"/>
    <w:rsid w:val="00BD1F5A"/>
    <w:rsid w:val="00BD306E"/>
    <w:rsid w:val="00BD32BA"/>
    <w:rsid w:val="00BD3519"/>
    <w:rsid w:val="00BD3644"/>
    <w:rsid w:val="00BD3709"/>
    <w:rsid w:val="00BD37E4"/>
    <w:rsid w:val="00BD3D6A"/>
    <w:rsid w:val="00BD4ED4"/>
    <w:rsid w:val="00BD6173"/>
    <w:rsid w:val="00BD6AF0"/>
    <w:rsid w:val="00BD776B"/>
    <w:rsid w:val="00BD778F"/>
    <w:rsid w:val="00BD7893"/>
    <w:rsid w:val="00BD7C31"/>
    <w:rsid w:val="00BD7D7D"/>
    <w:rsid w:val="00BE02CB"/>
    <w:rsid w:val="00BE0F8E"/>
    <w:rsid w:val="00BE15CA"/>
    <w:rsid w:val="00BE1984"/>
    <w:rsid w:val="00BE1989"/>
    <w:rsid w:val="00BE1C47"/>
    <w:rsid w:val="00BE1DBC"/>
    <w:rsid w:val="00BE27FC"/>
    <w:rsid w:val="00BE2A8D"/>
    <w:rsid w:val="00BE3723"/>
    <w:rsid w:val="00BE418A"/>
    <w:rsid w:val="00BE436B"/>
    <w:rsid w:val="00BE4810"/>
    <w:rsid w:val="00BE4DBB"/>
    <w:rsid w:val="00BE5B3D"/>
    <w:rsid w:val="00BE5B45"/>
    <w:rsid w:val="00BE5F8E"/>
    <w:rsid w:val="00BE6597"/>
    <w:rsid w:val="00BE6840"/>
    <w:rsid w:val="00BE6D58"/>
    <w:rsid w:val="00BE6F3A"/>
    <w:rsid w:val="00BF0117"/>
    <w:rsid w:val="00BF01CE"/>
    <w:rsid w:val="00BF03F3"/>
    <w:rsid w:val="00BF0610"/>
    <w:rsid w:val="00BF144D"/>
    <w:rsid w:val="00BF1B7F"/>
    <w:rsid w:val="00BF2FD9"/>
    <w:rsid w:val="00BF377A"/>
    <w:rsid w:val="00BF3F83"/>
    <w:rsid w:val="00BF44FF"/>
    <w:rsid w:val="00BF4811"/>
    <w:rsid w:val="00BF5045"/>
    <w:rsid w:val="00BF54CF"/>
    <w:rsid w:val="00BF54D1"/>
    <w:rsid w:val="00BF5C34"/>
    <w:rsid w:val="00BF5D6C"/>
    <w:rsid w:val="00BF6243"/>
    <w:rsid w:val="00BF68A9"/>
    <w:rsid w:val="00BF717F"/>
    <w:rsid w:val="00BF7D12"/>
    <w:rsid w:val="00BF7E0B"/>
    <w:rsid w:val="00C001FB"/>
    <w:rsid w:val="00C005AB"/>
    <w:rsid w:val="00C01460"/>
    <w:rsid w:val="00C0167B"/>
    <w:rsid w:val="00C018DD"/>
    <w:rsid w:val="00C019C6"/>
    <w:rsid w:val="00C025E4"/>
    <w:rsid w:val="00C0269B"/>
    <w:rsid w:val="00C026C6"/>
    <w:rsid w:val="00C02B52"/>
    <w:rsid w:val="00C02CD2"/>
    <w:rsid w:val="00C037B4"/>
    <w:rsid w:val="00C03BCF"/>
    <w:rsid w:val="00C04328"/>
    <w:rsid w:val="00C0485F"/>
    <w:rsid w:val="00C057CF"/>
    <w:rsid w:val="00C05876"/>
    <w:rsid w:val="00C06739"/>
    <w:rsid w:val="00C06BF3"/>
    <w:rsid w:val="00C0710F"/>
    <w:rsid w:val="00C0746E"/>
    <w:rsid w:val="00C07D1B"/>
    <w:rsid w:val="00C10340"/>
    <w:rsid w:val="00C1081B"/>
    <w:rsid w:val="00C10998"/>
    <w:rsid w:val="00C11AE8"/>
    <w:rsid w:val="00C151D1"/>
    <w:rsid w:val="00C15556"/>
    <w:rsid w:val="00C15BA0"/>
    <w:rsid w:val="00C15EDA"/>
    <w:rsid w:val="00C167B8"/>
    <w:rsid w:val="00C167FA"/>
    <w:rsid w:val="00C16FCE"/>
    <w:rsid w:val="00C1715A"/>
    <w:rsid w:val="00C174A5"/>
    <w:rsid w:val="00C1792D"/>
    <w:rsid w:val="00C214B2"/>
    <w:rsid w:val="00C2162D"/>
    <w:rsid w:val="00C219CA"/>
    <w:rsid w:val="00C21D56"/>
    <w:rsid w:val="00C238CE"/>
    <w:rsid w:val="00C23C4E"/>
    <w:rsid w:val="00C23DF6"/>
    <w:rsid w:val="00C2447E"/>
    <w:rsid w:val="00C24CBB"/>
    <w:rsid w:val="00C25AEB"/>
    <w:rsid w:val="00C269A5"/>
    <w:rsid w:val="00C26D83"/>
    <w:rsid w:val="00C270AE"/>
    <w:rsid w:val="00C3195D"/>
    <w:rsid w:val="00C31B0B"/>
    <w:rsid w:val="00C32116"/>
    <w:rsid w:val="00C32DA2"/>
    <w:rsid w:val="00C33362"/>
    <w:rsid w:val="00C33CBE"/>
    <w:rsid w:val="00C344B1"/>
    <w:rsid w:val="00C34BC8"/>
    <w:rsid w:val="00C34DC1"/>
    <w:rsid w:val="00C3504B"/>
    <w:rsid w:val="00C353C8"/>
    <w:rsid w:val="00C356EB"/>
    <w:rsid w:val="00C35CF3"/>
    <w:rsid w:val="00C35DF4"/>
    <w:rsid w:val="00C3650D"/>
    <w:rsid w:val="00C36575"/>
    <w:rsid w:val="00C365A6"/>
    <w:rsid w:val="00C368CE"/>
    <w:rsid w:val="00C36E8C"/>
    <w:rsid w:val="00C37543"/>
    <w:rsid w:val="00C37829"/>
    <w:rsid w:val="00C403A6"/>
    <w:rsid w:val="00C403E3"/>
    <w:rsid w:val="00C40BA1"/>
    <w:rsid w:val="00C41230"/>
    <w:rsid w:val="00C41B84"/>
    <w:rsid w:val="00C429B4"/>
    <w:rsid w:val="00C42A9A"/>
    <w:rsid w:val="00C42FC5"/>
    <w:rsid w:val="00C434E5"/>
    <w:rsid w:val="00C43A64"/>
    <w:rsid w:val="00C43EFA"/>
    <w:rsid w:val="00C44866"/>
    <w:rsid w:val="00C45FEB"/>
    <w:rsid w:val="00C474ED"/>
    <w:rsid w:val="00C47DD8"/>
    <w:rsid w:val="00C50093"/>
    <w:rsid w:val="00C509A4"/>
    <w:rsid w:val="00C50B64"/>
    <w:rsid w:val="00C50BE2"/>
    <w:rsid w:val="00C51774"/>
    <w:rsid w:val="00C51BB4"/>
    <w:rsid w:val="00C51EF2"/>
    <w:rsid w:val="00C52EFF"/>
    <w:rsid w:val="00C532B2"/>
    <w:rsid w:val="00C53FA2"/>
    <w:rsid w:val="00C54186"/>
    <w:rsid w:val="00C545A8"/>
    <w:rsid w:val="00C5509C"/>
    <w:rsid w:val="00C56297"/>
    <w:rsid w:val="00C56911"/>
    <w:rsid w:val="00C56967"/>
    <w:rsid w:val="00C57439"/>
    <w:rsid w:val="00C603FE"/>
    <w:rsid w:val="00C6043F"/>
    <w:rsid w:val="00C60B69"/>
    <w:rsid w:val="00C60DB6"/>
    <w:rsid w:val="00C62E3E"/>
    <w:rsid w:val="00C62F28"/>
    <w:rsid w:val="00C632A9"/>
    <w:rsid w:val="00C63613"/>
    <w:rsid w:val="00C63909"/>
    <w:rsid w:val="00C63FAB"/>
    <w:rsid w:val="00C644EE"/>
    <w:rsid w:val="00C64E15"/>
    <w:rsid w:val="00C64EA5"/>
    <w:rsid w:val="00C66253"/>
    <w:rsid w:val="00C6625D"/>
    <w:rsid w:val="00C67246"/>
    <w:rsid w:val="00C67395"/>
    <w:rsid w:val="00C67851"/>
    <w:rsid w:val="00C67956"/>
    <w:rsid w:val="00C67AEB"/>
    <w:rsid w:val="00C70E1E"/>
    <w:rsid w:val="00C70F69"/>
    <w:rsid w:val="00C711EE"/>
    <w:rsid w:val="00C7148C"/>
    <w:rsid w:val="00C7190B"/>
    <w:rsid w:val="00C71B6E"/>
    <w:rsid w:val="00C72083"/>
    <w:rsid w:val="00C72ED4"/>
    <w:rsid w:val="00C733CC"/>
    <w:rsid w:val="00C73C74"/>
    <w:rsid w:val="00C74E6D"/>
    <w:rsid w:val="00C7500E"/>
    <w:rsid w:val="00C762D9"/>
    <w:rsid w:val="00C77869"/>
    <w:rsid w:val="00C77910"/>
    <w:rsid w:val="00C77C87"/>
    <w:rsid w:val="00C804AA"/>
    <w:rsid w:val="00C81307"/>
    <w:rsid w:val="00C81615"/>
    <w:rsid w:val="00C8179A"/>
    <w:rsid w:val="00C82732"/>
    <w:rsid w:val="00C82908"/>
    <w:rsid w:val="00C82952"/>
    <w:rsid w:val="00C82C23"/>
    <w:rsid w:val="00C82CE5"/>
    <w:rsid w:val="00C831AF"/>
    <w:rsid w:val="00C8411A"/>
    <w:rsid w:val="00C847DD"/>
    <w:rsid w:val="00C84A21"/>
    <w:rsid w:val="00C84D92"/>
    <w:rsid w:val="00C85982"/>
    <w:rsid w:val="00C860B7"/>
    <w:rsid w:val="00C86629"/>
    <w:rsid w:val="00C8727A"/>
    <w:rsid w:val="00C9001C"/>
    <w:rsid w:val="00C9083C"/>
    <w:rsid w:val="00C926F4"/>
    <w:rsid w:val="00C942E8"/>
    <w:rsid w:val="00C94434"/>
    <w:rsid w:val="00C94AEA"/>
    <w:rsid w:val="00C94C75"/>
    <w:rsid w:val="00C94F20"/>
    <w:rsid w:val="00C9522E"/>
    <w:rsid w:val="00C96E3E"/>
    <w:rsid w:val="00C97224"/>
    <w:rsid w:val="00C97734"/>
    <w:rsid w:val="00C97E3D"/>
    <w:rsid w:val="00CA0964"/>
    <w:rsid w:val="00CA1DD6"/>
    <w:rsid w:val="00CA2372"/>
    <w:rsid w:val="00CA2EDC"/>
    <w:rsid w:val="00CA3342"/>
    <w:rsid w:val="00CA396E"/>
    <w:rsid w:val="00CA4244"/>
    <w:rsid w:val="00CA443C"/>
    <w:rsid w:val="00CA4E4F"/>
    <w:rsid w:val="00CA57B2"/>
    <w:rsid w:val="00CA6036"/>
    <w:rsid w:val="00CA6E11"/>
    <w:rsid w:val="00CA74BB"/>
    <w:rsid w:val="00CB0729"/>
    <w:rsid w:val="00CB076D"/>
    <w:rsid w:val="00CB094B"/>
    <w:rsid w:val="00CB1129"/>
    <w:rsid w:val="00CB18D0"/>
    <w:rsid w:val="00CB1E6D"/>
    <w:rsid w:val="00CB2409"/>
    <w:rsid w:val="00CB3F93"/>
    <w:rsid w:val="00CB4A07"/>
    <w:rsid w:val="00CB4EEE"/>
    <w:rsid w:val="00CB5626"/>
    <w:rsid w:val="00CB5B67"/>
    <w:rsid w:val="00CB61B4"/>
    <w:rsid w:val="00CB7176"/>
    <w:rsid w:val="00CB7371"/>
    <w:rsid w:val="00CB7A7A"/>
    <w:rsid w:val="00CB7AF1"/>
    <w:rsid w:val="00CC04F1"/>
    <w:rsid w:val="00CC0740"/>
    <w:rsid w:val="00CC18CB"/>
    <w:rsid w:val="00CC1B66"/>
    <w:rsid w:val="00CC22FE"/>
    <w:rsid w:val="00CC24CE"/>
    <w:rsid w:val="00CC2A12"/>
    <w:rsid w:val="00CC2BFD"/>
    <w:rsid w:val="00CC36C8"/>
    <w:rsid w:val="00CC3ADF"/>
    <w:rsid w:val="00CC3FCC"/>
    <w:rsid w:val="00CC4361"/>
    <w:rsid w:val="00CC4F96"/>
    <w:rsid w:val="00CC52DA"/>
    <w:rsid w:val="00CC69C0"/>
    <w:rsid w:val="00CC6C1C"/>
    <w:rsid w:val="00CC6D47"/>
    <w:rsid w:val="00CC771B"/>
    <w:rsid w:val="00CD0174"/>
    <w:rsid w:val="00CD02CD"/>
    <w:rsid w:val="00CD047D"/>
    <w:rsid w:val="00CD0488"/>
    <w:rsid w:val="00CD0C86"/>
    <w:rsid w:val="00CD1000"/>
    <w:rsid w:val="00CD16DC"/>
    <w:rsid w:val="00CD28D0"/>
    <w:rsid w:val="00CD396C"/>
    <w:rsid w:val="00CD39B7"/>
    <w:rsid w:val="00CD3C22"/>
    <w:rsid w:val="00CD419F"/>
    <w:rsid w:val="00CD4438"/>
    <w:rsid w:val="00CD48D5"/>
    <w:rsid w:val="00CD4F28"/>
    <w:rsid w:val="00CD50C8"/>
    <w:rsid w:val="00CD526F"/>
    <w:rsid w:val="00CD63CD"/>
    <w:rsid w:val="00CD678F"/>
    <w:rsid w:val="00CD692B"/>
    <w:rsid w:val="00CD6EA7"/>
    <w:rsid w:val="00CD7AEA"/>
    <w:rsid w:val="00CE01BF"/>
    <w:rsid w:val="00CE040B"/>
    <w:rsid w:val="00CE049F"/>
    <w:rsid w:val="00CE0C1A"/>
    <w:rsid w:val="00CE128F"/>
    <w:rsid w:val="00CE158E"/>
    <w:rsid w:val="00CE2047"/>
    <w:rsid w:val="00CE21B8"/>
    <w:rsid w:val="00CE2445"/>
    <w:rsid w:val="00CE38B2"/>
    <w:rsid w:val="00CE3A08"/>
    <w:rsid w:val="00CE420E"/>
    <w:rsid w:val="00CE49EC"/>
    <w:rsid w:val="00CE4A6A"/>
    <w:rsid w:val="00CE4D59"/>
    <w:rsid w:val="00CE50A0"/>
    <w:rsid w:val="00CE5FC9"/>
    <w:rsid w:val="00CE66DF"/>
    <w:rsid w:val="00CE6A90"/>
    <w:rsid w:val="00CE7924"/>
    <w:rsid w:val="00CF25E6"/>
    <w:rsid w:val="00CF2826"/>
    <w:rsid w:val="00CF295C"/>
    <w:rsid w:val="00CF2BC5"/>
    <w:rsid w:val="00CF2C41"/>
    <w:rsid w:val="00CF3859"/>
    <w:rsid w:val="00CF4F01"/>
    <w:rsid w:val="00CF571C"/>
    <w:rsid w:val="00CF7D85"/>
    <w:rsid w:val="00D00357"/>
    <w:rsid w:val="00D01BDC"/>
    <w:rsid w:val="00D02466"/>
    <w:rsid w:val="00D0373E"/>
    <w:rsid w:val="00D04131"/>
    <w:rsid w:val="00D04318"/>
    <w:rsid w:val="00D044FA"/>
    <w:rsid w:val="00D04AE2"/>
    <w:rsid w:val="00D051C5"/>
    <w:rsid w:val="00D05982"/>
    <w:rsid w:val="00D059EF"/>
    <w:rsid w:val="00D06C04"/>
    <w:rsid w:val="00D06FE8"/>
    <w:rsid w:val="00D07295"/>
    <w:rsid w:val="00D10B38"/>
    <w:rsid w:val="00D10B7A"/>
    <w:rsid w:val="00D10F2D"/>
    <w:rsid w:val="00D11578"/>
    <w:rsid w:val="00D11788"/>
    <w:rsid w:val="00D117E3"/>
    <w:rsid w:val="00D11DD6"/>
    <w:rsid w:val="00D12689"/>
    <w:rsid w:val="00D12A8B"/>
    <w:rsid w:val="00D12F9A"/>
    <w:rsid w:val="00D13037"/>
    <w:rsid w:val="00D130B2"/>
    <w:rsid w:val="00D1326B"/>
    <w:rsid w:val="00D132D6"/>
    <w:rsid w:val="00D13330"/>
    <w:rsid w:val="00D13B50"/>
    <w:rsid w:val="00D140F6"/>
    <w:rsid w:val="00D153A7"/>
    <w:rsid w:val="00D156AE"/>
    <w:rsid w:val="00D17276"/>
    <w:rsid w:val="00D17328"/>
    <w:rsid w:val="00D17489"/>
    <w:rsid w:val="00D175DE"/>
    <w:rsid w:val="00D2008F"/>
    <w:rsid w:val="00D21E68"/>
    <w:rsid w:val="00D224C4"/>
    <w:rsid w:val="00D2295F"/>
    <w:rsid w:val="00D24615"/>
    <w:rsid w:val="00D24983"/>
    <w:rsid w:val="00D25E96"/>
    <w:rsid w:val="00D26126"/>
    <w:rsid w:val="00D26808"/>
    <w:rsid w:val="00D27099"/>
    <w:rsid w:val="00D27DC9"/>
    <w:rsid w:val="00D308B9"/>
    <w:rsid w:val="00D312FD"/>
    <w:rsid w:val="00D31327"/>
    <w:rsid w:val="00D314AD"/>
    <w:rsid w:val="00D31FAF"/>
    <w:rsid w:val="00D325CD"/>
    <w:rsid w:val="00D32CE5"/>
    <w:rsid w:val="00D337E0"/>
    <w:rsid w:val="00D337FD"/>
    <w:rsid w:val="00D337FF"/>
    <w:rsid w:val="00D33CA7"/>
    <w:rsid w:val="00D342BE"/>
    <w:rsid w:val="00D358B5"/>
    <w:rsid w:val="00D36EFE"/>
    <w:rsid w:val="00D37214"/>
    <w:rsid w:val="00D3774B"/>
    <w:rsid w:val="00D37A11"/>
    <w:rsid w:val="00D37D99"/>
    <w:rsid w:val="00D37E6B"/>
    <w:rsid w:val="00D40BAF"/>
    <w:rsid w:val="00D41537"/>
    <w:rsid w:val="00D41890"/>
    <w:rsid w:val="00D42996"/>
    <w:rsid w:val="00D42A28"/>
    <w:rsid w:val="00D43805"/>
    <w:rsid w:val="00D4439E"/>
    <w:rsid w:val="00D45070"/>
    <w:rsid w:val="00D45186"/>
    <w:rsid w:val="00D452D7"/>
    <w:rsid w:val="00D45BB7"/>
    <w:rsid w:val="00D4647C"/>
    <w:rsid w:val="00D467F7"/>
    <w:rsid w:val="00D46C8D"/>
    <w:rsid w:val="00D4725B"/>
    <w:rsid w:val="00D47EAA"/>
    <w:rsid w:val="00D50246"/>
    <w:rsid w:val="00D50394"/>
    <w:rsid w:val="00D5064A"/>
    <w:rsid w:val="00D509A4"/>
    <w:rsid w:val="00D50D0F"/>
    <w:rsid w:val="00D50FA9"/>
    <w:rsid w:val="00D515FC"/>
    <w:rsid w:val="00D51C47"/>
    <w:rsid w:val="00D52AD8"/>
    <w:rsid w:val="00D5406E"/>
    <w:rsid w:val="00D54B4B"/>
    <w:rsid w:val="00D5536B"/>
    <w:rsid w:val="00D55888"/>
    <w:rsid w:val="00D558FA"/>
    <w:rsid w:val="00D56E57"/>
    <w:rsid w:val="00D570FC"/>
    <w:rsid w:val="00D57A87"/>
    <w:rsid w:val="00D57EF9"/>
    <w:rsid w:val="00D6028C"/>
    <w:rsid w:val="00D608CE"/>
    <w:rsid w:val="00D620AD"/>
    <w:rsid w:val="00D62626"/>
    <w:rsid w:val="00D627E8"/>
    <w:rsid w:val="00D632A0"/>
    <w:rsid w:val="00D632E5"/>
    <w:rsid w:val="00D63826"/>
    <w:rsid w:val="00D6432F"/>
    <w:rsid w:val="00D64AB4"/>
    <w:rsid w:val="00D6587F"/>
    <w:rsid w:val="00D65CE3"/>
    <w:rsid w:val="00D66010"/>
    <w:rsid w:val="00D671C6"/>
    <w:rsid w:val="00D67A7A"/>
    <w:rsid w:val="00D67BC4"/>
    <w:rsid w:val="00D67C5B"/>
    <w:rsid w:val="00D70009"/>
    <w:rsid w:val="00D70CD3"/>
    <w:rsid w:val="00D70E62"/>
    <w:rsid w:val="00D7166F"/>
    <w:rsid w:val="00D72CCB"/>
    <w:rsid w:val="00D72DDA"/>
    <w:rsid w:val="00D73AE1"/>
    <w:rsid w:val="00D73C22"/>
    <w:rsid w:val="00D7469B"/>
    <w:rsid w:val="00D748C9"/>
    <w:rsid w:val="00D75099"/>
    <w:rsid w:val="00D75BF1"/>
    <w:rsid w:val="00D76288"/>
    <w:rsid w:val="00D77271"/>
    <w:rsid w:val="00D77C7B"/>
    <w:rsid w:val="00D81C94"/>
    <w:rsid w:val="00D8236B"/>
    <w:rsid w:val="00D82D2B"/>
    <w:rsid w:val="00D83000"/>
    <w:rsid w:val="00D8348F"/>
    <w:rsid w:val="00D83B64"/>
    <w:rsid w:val="00D841A4"/>
    <w:rsid w:val="00D84841"/>
    <w:rsid w:val="00D849BA"/>
    <w:rsid w:val="00D85961"/>
    <w:rsid w:val="00D85A67"/>
    <w:rsid w:val="00D85C71"/>
    <w:rsid w:val="00D85D57"/>
    <w:rsid w:val="00D867DC"/>
    <w:rsid w:val="00D90E45"/>
    <w:rsid w:val="00D91273"/>
    <w:rsid w:val="00D91504"/>
    <w:rsid w:val="00D91722"/>
    <w:rsid w:val="00D9232E"/>
    <w:rsid w:val="00D9280A"/>
    <w:rsid w:val="00D929C0"/>
    <w:rsid w:val="00D93648"/>
    <w:rsid w:val="00D948F3"/>
    <w:rsid w:val="00D94C87"/>
    <w:rsid w:val="00D94F3B"/>
    <w:rsid w:val="00D951B0"/>
    <w:rsid w:val="00D959D7"/>
    <w:rsid w:val="00D95EC3"/>
    <w:rsid w:val="00D972D1"/>
    <w:rsid w:val="00D9736A"/>
    <w:rsid w:val="00D976E7"/>
    <w:rsid w:val="00DA07C4"/>
    <w:rsid w:val="00DA12F5"/>
    <w:rsid w:val="00DA27AA"/>
    <w:rsid w:val="00DA28D1"/>
    <w:rsid w:val="00DA2C1B"/>
    <w:rsid w:val="00DA35A2"/>
    <w:rsid w:val="00DA595F"/>
    <w:rsid w:val="00DA59C2"/>
    <w:rsid w:val="00DA6DD3"/>
    <w:rsid w:val="00DB045D"/>
    <w:rsid w:val="00DB0A9D"/>
    <w:rsid w:val="00DB0BD2"/>
    <w:rsid w:val="00DB0E90"/>
    <w:rsid w:val="00DB1F9F"/>
    <w:rsid w:val="00DB1FD4"/>
    <w:rsid w:val="00DB2638"/>
    <w:rsid w:val="00DB290A"/>
    <w:rsid w:val="00DB35F7"/>
    <w:rsid w:val="00DB3809"/>
    <w:rsid w:val="00DB3B00"/>
    <w:rsid w:val="00DB3B20"/>
    <w:rsid w:val="00DB51FE"/>
    <w:rsid w:val="00DB55E1"/>
    <w:rsid w:val="00DB570B"/>
    <w:rsid w:val="00DB6A8C"/>
    <w:rsid w:val="00DB6B17"/>
    <w:rsid w:val="00DB7496"/>
    <w:rsid w:val="00DC028B"/>
    <w:rsid w:val="00DC36F1"/>
    <w:rsid w:val="00DC3D8E"/>
    <w:rsid w:val="00DC4106"/>
    <w:rsid w:val="00DC4AA5"/>
    <w:rsid w:val="00DC4F21"/>
    <w:rsid w:val="00DC4F68"/>
    <w:rsid w:val="00DC529B"/>
    <w:rsid w:val="00DC56DC"/>
    <w:rsid w:val="00DC5CC9"/>
    <w:rsid w:val="00DC6038"/>
    <w:rsid w:val="00DC6224"/>
    <w:rsid w:val="00DC68A4"/>
    <w:rsid w:val="00DC71E4"/>
    <w:rsid w:val="00DC7478"/>
    <w:rsid w:val="00DC7D53"/>
    <w:rsid w:val="00DD00E2"/>
    <w:rsid w:val="00DD01CC"/>
    <w:rsid w:val="00DD02B1"/>
    <w:rsid w:val="00DD0CEE"/>
    <w:rsid w:val="00DD0E59"/>
    <w:rsid w:val="00DD1406"/>
    <w:rsid w:val="00DD1639"/>
    <w:rsid w:val="00DD1E78"/>
    <w:rsid w:val="00DD2EC6"/>
    <w:rsid w:val="00DD3A49"/>
    <w:rsid w:val="00DD3F22"/>
    <w:rsid w:val="00DD4251"/>
    <w:rsid w:val="00DD4D58"/>
    <w:rsid w:val="00DD6971"/>
    <w:rsid w:val="00DD6CF8"/>
    <w:rsid w:val="00DD7091"/>
    <w:rsid w:val="00DD79F9"/>
    <w:rsid w:val="00DE1113"/>
    <w:rsid w:val="00DE13C9"/>
    <w:rsid w:val="00DE187A"/>
    <w:rsid w:val="00DE2B2B"/>
    <w:rsid w:val="00DE2F8D"/>
    <w:rsid w:val="00DE366B"/>
    <w:rsid w:val="00DE4A1B"/>
    <w:rsid w:val="00DE4AE2"/>
    <w:rsid w:val="00DE4F23"/>
    <w:rsid w:val="00DE66C6"/>
    <w:rsid w:val="00DE6A64"/>
    <w:rsid w:val="00DE7128"/>
    <w:rsid w:val="00DE7ED7"/>
    <w:rsid w:val="00DF1CAE"/>
    <w:rsid w:val="00DF1E54"/>
    <w:rsid w:val="00DF2929"/>
    <w:rsid w:val="00DF2D6C"/>
    <w:rsid w:val="00DF3C04"/>
    <w:rsid w:val="00DF3D78"/>
    <w:rsid w:val="00DF446E"/>
    <w:rsid w:val="00DF44D9"/>
    <w:rsid w:val="00DF4DAA"/>
    <w:rsid w:val="00DF521A"/>
    <w:rsid w:val="00DF5493"/>
    <w:rsid w:val="00DF5CF8"/>
    <w:rsid w:val="00DF5EBC"/>
    <w:rsid w:val="00DF6072"/>
    <w:rsid w:val="00DF6CF8"/>
    <w:rsid w:val="00DF77BA"/>
    <w:rsid w:val="00DF7974"/>
    <w:rsid w:val="00DF79C4"/>
    <w:rsid w:val="00DF7EDA"/>
    <w:rsid w:val="00E00034"/>
    <w:rsid w:val="00E00718"/>
    <w:rsid w:val="00E012D3"/>
    <w:rsid w:val="00E017DF"/>
    <w:rsid w:val="00E021D0"/>
    <w:rsid w:val="00E02A80"/>
    <w:rsid w:val="00E02C1F"/>
    <w:rsid w:val="00E0329D"/>
    <w:rsid w:val="00E034A8"/>
    <w:rsid w:val="00E0364A"/>
    <w:rsid w:val="00E03FCC"/>
    <w:rsid w:val="00E04495"/>
    <w:rsid w:val="00E04518"/>
    <w:rsid w:val="00E0495D"/>
    <w:rsid w:val="00E04CC2"/>
    <w:rsid w:val="00E0589E"/>
    <w:rsid w:val="00E0615F"/>
    <w:rsid w:val="00E06684"/>
    <w:rsid w:val="00E07435"/>
    <w:rsid w:val="00E1065D"/>
    <w:rsid w:val="00E110FF"/>
    <w:rsid w:val="00E11349"/>
    <w:rsid w:val="00E1164E"/>
    <w:rsid w:val="00E128AC"/>
    <w:rsid w:val="00E12ACD"/>
    <w:rsid w:val="00E131C2"/>
    <w:rsid w:val="00E1374C"/>
    <w:rsid w:val="00E13977"/>
    <w:rsid w:val="00E1448D"/>
    <w:rsid w:val="00E148F7"/>
    <w:rsid w:val="00E14992"/>
    <w:rsid w:val="00E14EFA"/>
    <w:rsid w:val="00E15C97"/>
    <w:rsid w:val="00E15E88"/>
    <w:rsid w:val="00E16576"/>
    <w:rsid w:val="00E16616"/>
    <w:rsid w:val="00E1683E"/>
    <w:rsid w:val="00E2027B"/>
    <w:rsid w:val="00E21517"/>
    <w:rsid w:val="00E219A0"/>
    <w:rsid w:val="00E21E72"/>
    <w:rsid w:val="00E222F1"/>
    <w:rsid w:val="00E22554"/>
    <w:rsid w:val="00E22D35"/>
    <w:rsid w:val="00E23422"/>
    <w:rsid w:val="00E23698"/>
    <w:rsid w:val="00E24875"/>
    <w:rsid w:val="00E24D5F"/>
    <w:rsid w:val="00E25784"/>
    <w:rsid w:val="00E264CF"/>
    <w:rsid w:val="00E270D4"/>
    <w:rsid w:val="00E2716E"/>
    <w:rsid w:val="00E27354"/>
    <w:rsid w:val="00E27917"/>
    <w:rsid w:val="00E31761"/>
    <w:rsid w:val="00E31B8C"/>
    <w:rsid w:val="00E322E1"/>
    <w:rsid w:val="00E324F9"/>
    <w:rsid w:val="00E329AF"/>
    <w:rsid w:val="00E32B47"/>
    <w:rsid w:val="00E33AED"/>
    <w:rsid w:val="00E351A4"/>
    <w:rsid w:val="00E373EB"/>
    <w:rsid w:val="00E377DB"/>
    <w:rsid w:val="00E37C7E"/>
    <w:rsid w:val="00E37E88"/>
    <w:rsid w:val="00E37FC5"/>
    <w:rsid w:val="00E405F3"/>
    <w:rsid w:val="00E40B3E"/>
    <w:rsid w:val="00E41025"/>
    <w:rsid w:val="00E41340"/>
    <w:rsid w:val="00E416BE"/>
    <w:rsid w:val="00E41D9C"/>
    <w:rsid w:val="00E42398"/>
    <w:rsid w:val="00E42416"/>
    <w:rsid w:val="00E4277F"/>
    <w:rsid w:val="00E43C55"/>
    <w:rsid w:val="00E44CEF"/>
    <w:rsid w:val="00E44CF0"/>
    <w:rsid w:val="00E4605A"/>
    <w:rsid w:val="00E46067"/>
    <w:rsid w:val="00E468DC"/>
    <w:rsid w:val="00E46FB5"/>
    <w:rsid w:val="00E4734A"/>
    <w:rsid w:val="00E4753D"/>
    <w:rsid w:val="00E475FC"/>
    <w:rsid w:val="00E476F2"/>
    <w:rsid w:val="00E476F7"/>
    <w:rsid w:val="00E47A2F"/>
    <w:rsid w:val="00E47FB7"/>
    <w:rsid w:val="00E51312"/>
    <w:rsid w:val="00E51921"/>
    <w:rsid w:val="00E51BFE"/>
    <w:rsid w:val="00E52073"/>
    <w:rsid w:val="00E52C51"/>
    <w:rsid w:val="00E52CDB"/>
    <w:rsid w:val="00E53586"/>
    <w:rsid w:val="00E53644"/>
    <w:rsid w:val="00E53733"/>
    <w:rsid w:val="00E53F3C"/>
    <w:rsid w:val="00E541F0"/>
    <w:rsid w:val="00E542A9"/>
    <w:rsid w:val="00E542B2"/>
    <w:rsid w:val="00E54A17"/>
    <w:rsid w:val="00E564F5"/>
    <w:rsid w:val="00E56CEB"/>
    <w:rsid w:val="00E5776A"/>
    <w:rsid w:val="00E57E7B"/>
    <w:rsid w:val="00E60693"/>
    <w:rsid w:val="00E606DC"/>
    <w:rsid w:val="00E60E06"/>
    <w:rsid w:val="00E60EE4"/>
    <w:rsid w:val="00E61EEB"/>
    <w:rsid w:val="00E61FBC"/>
    <w:rsid w:val="00E62560"/>
    <w:rsid w:val="00E62D0C"/>
    <w:rsid w:val="00E634D2"/>
    <w:rsid w:val="00E63A8F"/>
    <w:rsid w:val="00E64D7D"/>
    <w:rsid w:val="00E65300"/>
    <w:rsid w:val="00E66664"/>
    <w:rsid w:val="00E66B15"/>
    <w:rsid w:val="00E66DFA"/>
    <w:rsid w:val="00E6703A"/>
    <w:rsid w:val="00E6773F"/>
    <w:rsid w:val="00E70FA2"/>
    <w:rsid w:val="00E71EC1"/>
    <w:rsid w:val="00E72221"/>
    <w:rsid w:val="00E725D0"/>
    <w:rsid w:val="00E728F9"/>
    <w:rsid w:val="00E73238"/>
    <w:rsid w:val="00E7378E"/>
    <w:rsid w:val="00E73AEE"/>
    <w:rsid w:val="00E73DB5"/>
    <w:rsid w:val="00E740ED"/>
    <w:rsid w:val="00E766BF"/>
    <w:rsid w:val="00E77123"/>
    <w:rsid w:val="00E77CE2"/>
    <w:rsid w:val="00E819C0"/>
    <w:rsid w:val="00E81B73"/>
    <w:rsid w:val="00E81E9B"/>
    <w:rsid w:val="00E82472"/>
    <w:rsid w:val="00E82F05"/>
    <w:rsid w:val="00E8303D"/>
    <w:rsid w:val="00E83138"/>
    <w:rsid w:val="00E838F7"/>
    <w:rsid w:val="00E8464F"/>
    <w:rsid w:val="00E84B10"/>
    <w:rsid w:val="00E851EB"/>
    <w:rsid w:val="00E85324"/>
    <w:rsid w:val="00E85CA3"/>
    <w:rsid w:val="00E902C9"/>
    <w:rsid w:val="00E907D3"/>
    <w:rsid w:val="00E91E6B"/>
    <w:rsid w:val="00E923D6"/>
    <w:rsid w:val="00E9373A"/>
    <w:rsid w:val="00E93DBD"/>
    <w:rsid w:val="00E93DE1"/>
    <w:rsid w:val="00E945D5"/>
    <w:rsid w:val="00E94A1E"/>
    <w:rsid w:val="00E94ADD"/>
    <w:rsid w:val="00E95205"/>
    <w:rsid w:val="00E954FF"/>
    <w:rsid w:val="00E95513"/>
    <w:rsid w:val="00E955FB"/>
    <w:rsid w:val="00E95B9D"/>
    <w:rsid w:val="00E95FC5"/>
    <w:rsid w:val="00E966AD"/>
    <w:rsid w:val="00E96B36"/>
    <w:rsid w:val="00E971E9"/>
    <w:rsid w:val="00E97433"/>
    <w:rsid w:val="00E976E3"/>
    <w:rsid w:val="00E979C7"/>
    <w:rsid w:val="00E97C42"/>
    <w:rsid w:val="00E97E3F"/>
    <w:rsid w:val="00E97FF3"/>
    <w:rsid w:val="00EA00F4"/>
    <w:rsid w:val="00EA0A35"/>
    <w:rsid w:val="00EA0AF3"/>
    <w:rsid w:val="00EA1664"/>
    <w:rsid w:val="00EA18AA"/>
    <w:rsid w:val="00EA1CA2"/>
    <w:rsid w:val="00EA1EBC"/>
    <w:rsid w:val="00EA2849"/>
    <w:rsid w:val="00EA3A39"/>
    <w:rsid w:val="00EA3D78"/>
    <w:rsid w:val="00EA42D7"/>
    <w:rsid w:val="00EA48B3"/>
    <w:rsid w:val="00EA59D2"/>
    <w:rsid w:val="00EA5C56"/>
    <w:rsid w:val="00EA694C"/>
    <w:rsid w:val="00EA71A0"/>
    <w:rsid w:val="00EB09EB"/>
    <w:rsid w:val="00EB11BA"/>
    <w:rsid w:val="00EB2AA7"/>
    <w:rsid w:val="00EB30DA"/>
    <w:rsid w:val="00EB326D"/>
    <w:rsid w:val="00EB34DE"/>
    <w:rsid w:val="00EB39F0"/>
    <w:rsid w:val="00EB4139"/>
    <w:rsid w:val="00EB4CE0"/>
    <w:rsid w:val="00EB5370"/>
    <w:rsid w:val="00EB53D7"/>
    <w:rsid w:val="00EB56E0"/>
    <w:rsid w:val="00EB6727"/>
    <w:rsid w:val="00EB700F"/>
    <w:rsid w:val="00EB707B"/>
    <w:rsid w:val="00EB773F"/>
    <w:rsid w:val="00EC02E8"/>
    <w:rsid w:val="00EC11B5"/>
    <w:rsid w:val="00EC11F5"/>
    <w:rsid w:val="00EC12D7"/>
    <w:rsid w:val="00EC1608"/>
    <w:rsid w:val="00EC1D15"/>
    <w:rsid w:val="00EC25A6"/>
    <w:rsid w:val="00EC2B8B"/>
    <w:rsid w:val="00EC33FF"/>
    <w:rsid w:val="00EC3556"/>
    <w:rsid w:val="00EC38E3"/>
    <w:rsid w:val="00EC40D8"/>
    <w:rsid w:val="00EC41E7"/>
    <w:rsid w:val="00EC4588"/>
    <w:rsid w:val="00EC4625"/>
    <w:rsid w:val="00EC62DF"/>
    <w:rsid w:val="00EC6F41"/>
    <w:rsid w:val="00EC7881"/>
    <w:rsid w:val="00EC7A96"/>
    <w:rsid w:val="00ED182F"/>
    <w:rsid w:val="00ED1AB0"/>
    <w:rsid w:val="00ED283C"/>
    <w:rsid w:val="00ED313A"/>
    <w:rsid w:val="00ED4D86"/>
    <w:rsid w:val="00ED4E5E"/>
    <w:rsid w:val="00ED7542"/>
    <w:rsid w:val="00EE06BE"/>
    <w:rsid w:val="00EE09D1"/>
    <w:rsid w:val="00EE0BFA"/>
    <w:rsid w:val="00EE120F"/>
    <w:rsid w:val="00EE1411"/>
    <w:rsid w:val="00EE152F"/>
    <w:rsid w:val="00EE1C21"/>
    <w:rsid w:val="00EE1EFE"/>
    <w:rsid w:val="00EE2BE6"/>
    <w:rsid w:val="00EE2F03"/>
    <w:rsid w:val="00EE2F23"/>
    <w:rsid w:val="00EE365C"/>
    <w:rsid w:val="00EE3B16"/>
    <w:rsid w:val="00EE4CB9"/>
    <w:rsid w:val="00EE4E14"/>
    <w:rsid w:val="00EE5853"/>
    <w:rsid w:val="00EE58EA"/>
    <w:rsid w:val="00EE64BC"/>
    <w:rsid w:val="00EE6FCF"/>
    <w:rsid w:val="00EE79CF"/>
    <w:rsid w:val="00EE7EE5"/>
    <w:rsid w:val="00EF1F4D"/>
    <w:rsid w:val="00EF223D"/>
    <w:rsid w:val="00EF2340"/>
    <w:rsid w:val="00EF25F7"/>
    <w:rsid w:val="00EF2719"/>
    <w:rsid w:val="00EF2DBA"/>
    <w:rsid w:val="00EF3602"/>
    <w:rsid w:val="00EF372B"/>
    <w:rsid w:val="00EF3752"/>
    <w:rsid w:val="00EF3880"/>
    <w:rsid w:val="00EF3B35"/>
    <w:rsid w:val="00EF4A20"/>
    <w:rsid w:val="00EF4A28"/>
    <w:rsid w:val="00EF58FA"/>
    <w:rsid w:val="00EF660C"/>
    <w:rsid w:val="00EF7434"/>
    <w:rsid w:val="00EF74F7"/>
    <w:rsid w:val="00EF7893"/>
    <w:rsid w:val="00EF7BE2"/>
    <w:rsid w:val="00F00245"/>
    <w:rsid w:val="00F00D34"/>
    <w:rsid w:val="00F01595"/>
    <w:rsid w:val="00F015C7"/>
    <w:rsid w:val="00F01A99"/>
    <w:rsid w:val="00F01B48"/>
    <w:rsid w:val="00F02490"/>
    <w:rsid w:val="00F026A5"/>
    <w:rsid w:val="00F027B1"/>
    <w:rsid w:val="00F0283A"/>
    <w:rsid w:val="00F028E1"/>
    <w:rsid w:val="00F034D9"/>
    <w:rsid w:val="00F036DE"/>
    <w:rsid w:val="00F03A11"/>
    <w:rsid w:val="00F0444E"/>
    <w:rsid w:val="00F04BD8"/>
    <w:rsid w:val="00F06B90"/>
    <w:rsid w:val="00F07755"/>
    <w:rsid w:val="00F07978"/>
    <w:rsid w:val="00F079C5"/>
    <w:rsid w:val="00F102F7"/>
    <w:rsid w:val="00F113BF"/>
    <w:rsid w:val="00F127EA"/>
    <w:rsid w:val="00F12879"/>
    <w:rsid w:val="00F12C48"/>
    <w:rsid w:val="00F12E88"/>
    <w:rsid w:val="00F148B1"/>
    <w:rsid w:val="00F14EAB"/>
    <w:rsid w:val="00F14FCB"/>
    <w:rsid w:val="00F1595C"/>
    <w:rsid w:val="00F164EA"/>
    <w:rsid w:val="00F16B86"/>
    <w:rsid w:val="00F179B6"/>
    <w:rsid w:val="00F2011C"/>
    <w:rsid w:val="00F204BC"/>
    <w:rsid w:val="00F20F8B"/>
    <w:rsid w:val="00F2161F"/>
    <w:rsid w:val="00F216B8"/>
    <w:rsid w:val="00F21A60"/>
    <w:rsid w:val="00F220FB"/>
    <w:rsid w:val="00F22628"/>
    <w:rsid w:val="00F22B0A"/>
    <w:rsid w:val="00F230BD"/>
    <w:rsid w:val="00F240D7"/>
    <w:rsid w:val="00F241C2"/>
    <w:rsid w:val="00F241CB"/>
    <w:rsid w:val="00F24583"/>
    <w:rsid w:val="00F24D3C"/>
    <w:rsid w:val="00F26219"/>
    <w:rsid w:val="00F264E3"/>
    <w:rsid w:val="00F26813"/>
    <w:rsid w:val="00F26DBB"/>
    <w:rsid w:val="00F2745D"/>
    <w:rsid w:val="00F27F70"/>
    <w:rsid w:val="00F3018C"/>
    <w:rsid w:val="00F30254"/>
    <w:rsid w:val="00F3056C"/>
    <w:rsid w:val="00F310D9"/>
    <w:rsid w:val="00F313F6"/>
    <w:rsid w:val="00F31499"/>
    <w:rsid w:val="00F3188B"/>
    <w:rsid w:val="00F31E61"/>
    <w:rsid w:val="00F326C7"/>
    <w:rsid w:val="00F329D9"/>
    <w:rsid w:val="00F32B1D"/>
    <w:rsid w:val="00F33FA0"/>
    <w:rsid w:val="00F34B29"/>
    <w:rsid w:val="00F35203"/>
    <w:rsid w:val="00F352FF"/>
    <w:rsid w:val="00F35482"/>
    <w:rsid w:val="00F358A4"/>
    <w:rsid w:val="00F37961"/>
    <w:rsid w:val="00F37EBE"/>
    <w:rsid w:val="00F40E5A"/>
    <w:rsid w:val="00F40F50"/>
    <w:rsid w:val="00F4127B"/>
    <w:rsid w:val="00F412BF"/>
    <w:rsid w:val="00F42F11"/>
    <w:rsid w:val="00F443DA"/>
    <w:rsid w:val="00F457A0"/>
    <w:rsid w:val="00F45E11"/>
    <w:rsid w:val="00F45E42"/>
    <w:rsid w:val="00F4645A"/>
    <w:rsid w:val="00F4651E"/>
    <w:rsid w:val="00F468B3"/>
    <w:rsid w:val="00F47727"/>
    <w:rsid w:val="00F47753"/>
    <w:rsid w:val="00F47980"/>
    <w:rsid w:val="00F50133"/>
    <w:rsid w:val="00F50F3B"/>
    <w:rsid w:val="00F51062"/>
    <w:rsid w:val="00F51474"/>
    <w:rsid w:val="00F51CDD"/>
    <w:rsid w:val="00F51F46"/>
    <w:rsid w:val="00F5202E"/>
    <w:rsid w:val="00F52384"/>
    <w:rsid w:val="00F52894"/>
    <w:rsid w:val="00F53130"/>
    <w:rsid w:val="00F532D5"/>
    <w:rsid w:val="00F5366A"/>
    <w:rsid w:val="00F537C8"/>
    <w:rsid w:val="00F54069"/>
    <w:rsid w:val="00F54489"/>
    <w:rsid w:val="00F54E44"/>
    <w:rsid w:val="00F5588E"/>
    <w:rsid w:val="00F558A4"/>
    <w:rsid w:val="00F55B6A"/>
    <w:rsid w:val="00F56779"/>
    <w:rsid w:val="00F578C5"/>
    <w:rsid w:val="00F57BDF"/>
    <w:rsid w:val="00F607D9"/>
    <w:rsid w:val="00F61433"/>
    <w:rsid w:val="00F61B3E"/>
    <w:rsid w:val="00F62843"/>
    <w:rsid w:val="00F63F97"/>
    <w:rsid w:val="00F64F83"/>
    <w:rsid w:val="00F65EFC"/>
    <w:rsid w:val="00F669AB"/>
    <w:rsid w:val="00F670A0"/>
    <w:rsid w:val="00F6740A"/>
    <w:rsid w:val="00F67DCB"/>
    <w:rsid w:val="00F7063E"/>
    <w:rsid w:val="00F70F52"/>
    <w:rsid w:val="00F7156F"/>
    <w:rsid w:val="00F71802"/>
    <w:rsid w:val="00F71A1D"/>
    <w:rsid w:val="00F7217B"/>
    <w:rsid w:val="00F73011"/>
    <w:rsid w:val="00F734F9"/>
    <w:rsid w:val="00F7391B"/>
    <w:rsid w:val="00F7394D"/>
    <w:rsid w:val="00F73C5E"/>
    <w:rsid w:val="00F74B9D"/>
    <w:rsid w:val="00F74DDF"/>
    <w:rsid w:val="00F7577A"/>
    <w:rsid w:val="00F759B5"/>
    <w:rsid w:val="00F75A56"/>
    <w:rsid w:val="00F763D7"/>
    <w:rsid w:val="00F77067"/>
    <w:rsid w:val="00F775B5"/>
    <w:rsid w:val="00F7760F"/>
    <w:rsid w:val="00F80076"/>
    <w:rsid w:val="00F80510"/>
    <w:rsid w:val="00F813B0"/>
    <w:rsid w:val="00F81AED"/>
    <w:rsid w:val="00F83114"/>
    <w:rsid w:val="00F8315F"/>
    <w:rsid w:val="00F84ADC"/>
    <w:rsid w:val="00F85845"/>
    <w:rsid w:val="00F87047"/>
    <w:rsid w:val="00F87134"/>
    <w:rsid w:val="00F87630"/>
    <w:rsid w:val="00F877D6"/>
    <w:rsid w:val="00F90316"/>
    <w:rsid w:val="00F90744"/>
    <w:rsid w:val="00F90B53"/>
    <w:rsid w:val="00F90D4F"/>
    <w:rsid w:val="00F916BC"/>
    <w:rsid w:val="00F9189D"/>
    <w:rsid w:val="00F91B53"/>
    <w:rsid w:val="00F925C8"/>
    <w:rsid w:val="00F92A14"/>
    <w:rsid w:val="00F92AB0"/>
    <w:rsid w:val="00F92B2B"/>
    <w:rsid w:val="00F93A90"/>
    <w:rsid w:val="00F9415F"/>
    <w:rsid w:val="00F94718"/>
    <w:rsid w:val="00F95E83"/>
    <w:rsid w:val="00F9602B"/>
    <w:rsid w:val="00F975E4"/>
    <w:rsid w:val="00F97B53"/>
    <w:rsid w:val="00F97B5E"/>
    <w:rsid w:val="00FA0042"/>
    <w:rsid w:val="00FA24D2"/>
    <w:rsid w:val="00FA2C99"/>
    <w:rsid w:val="00FA2EB5"/>
    <w:rsid w:val="00FA32F6"/>
    <w:rsid w:val="00FA331F"/>
    <w:rsid w:val="00FA38E1"/>
    <w:rsid w:val="00FA39D8"/>
    <w:rsid w:val="00FA4C2F"/>
    <w:rsid w:val="00FA5406"/>
    <w:rsid w:val="00FA5EE1"/>
    <w:rsid w:val="00FA69A4"/>
    <w:rsid w:val="00FA6E0B"/>
    <w:rsid w:val="00FA71F8"/>
    <w:rsid w:val="00FA7CE0"/>
    <w:rsid w:val="00FB0462"/>
    <w:rsid w:val="00FB0540"/>
    <w:rsid w:val="00FB0659"/>
    <w:rsid w:val="00FB0D7C"/>
    <w:rsid w:val="00FB0F08"/>
    <w:rsid w:val="00FB1739"/>
    <w:rsid w:val="00FB17E0"/>
    <w:rsid w:val="00FB1EE0"/>
    <w:rsid w:val="00FB240B"/>
    <w:rsid w:val="00FB2C4C"/>
    <w:rsid w:val="00FB3210"/>
    <w:rsid w:val="00FB350C"/>
    <w:rsid w:val="00FB3D6B"/>
    <w:rsid w:val="00FB591B"/>
    <w:rsid w:val="00FB6027"/>
    <w:rsid w:val="00FB6F8C"/>
    <w:rsid w:val="00FC1E14"/>
    <w:rsid w:val="00FC2948"/>
    <w:rsid w:val="00FC2D4B"/>
    <w:rsid w:val="00FC2FCE"/>
    <w:rsid w:val="00FC36CF"/>
    <w:rsid w:val="00FC4674"/>
    <w:rsid w:val="00FC4BAE"/>
    <w:rsid w:val="00FC592B"/>
    <w:rsid w:val="00FC5983"/>
    <w:rsid w:val="00FC61B9"/>
    <w:rsid w:val="00FC62CB"/>
    <w:rsid w:val="00FC6AFB"/>
    <w:rsid w:val="00FC6E55"/>
    <w:rsid w:val="00FD01B8"/>
    <w:rsid w:val="00FD02D7"/>
    <w:rsid w:val="00FD0688"/>
    <w:rsid w:val="00FD0C73"/>
    <w:rsid w:val="00FD14ED"/>
    <w:rsid w:val="00FD17F3"/>
    <w:rsid w:val="00FD1ED2"/>
    <w:rsid w:val="00FD23A6"/>
    <w:rsid w:val="00FD332D"/>
    <w:rsid w:val="00FD34E2"/>
    <w:rsid w:val="00FD582E"/>
    <w:rsid w:val="00FD5952"/>
    <w:rsid w:val="00FD637E"/>
    <w:rsid w:val="00FD6553"/>
    <w:rsid w:val="00FD66CC"/>
    <w:rsid w:val="00FD6EB8"/>
    <w:rsid w:val="00FD71AE"/>
    <w:rsid w:val="00FD723E"/>
    <w:rsid w:val="00FD74F0"/>
    <w:rsid w:val="00FD7A25"/>
    <w:rsid w:val="00FD7E17"/>
    <w:rsid w:val="00FE14D2"/>
    <w:rsid w:val="00FE220D"/>
    <w:rsid w:val="00FE24A4"/>
    <w:rsid w:val="00FE2AFB"/>
    <w:rsid w:val="00FE4A37"/>
    <w:rsid w:val="00FE4C8D"/>
    <w:rsid w:val="00FE51D6"/>
    <w:rsid w:val="00FE5A52"/>
    <w:rsid w:val="00FE6CFB"/>
    <w:rsid w:val="00FE6E38"/>
    <w:rsid w:val="00FE720C"/>
    <w:rsid w:val="00FF124E"/>
    <w:rsid w:val="00FF1667"/>
    <w:rsid w:val="00FF286D"/>
    <w:rsid w:val="00FF3B55"/>
    <w:rsid w:val="00FF419C"/>
    <w:rsid w:val="00FF4265"/>
    <w:rsid w:val="00FF4E40"/>
    <w:rsid w:val="00FF5A42"/>
    <w:rsid w:val="00FF65C8"/>
    <w:rsid w:val="00FF6AEB"/>
    <w:rsid w:val="00FF6DB5"/>
    <w:rsid w:val="00FF790E"/>
    <w:rsid w:val="00FF7F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1DB05"/>
  <w15:docId w15:val="{BC85BA2E-B00E-478A-904F-D7488B95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28F"/>
    <w:rPr>
      <w:sz w:val="24"/>
      <w:szCs w:val="24"/>
      <w:lang w:val="es-ES" w:eastAsia="es-ES"/>
    </w:rPr>
  </w:style>
  <w:style w:type="paragraph" w:styleId="Ttulo1">
    <w:name w:val="heading 1"/>
    <w:basedOn w:val="Normal"/>
    <w:next w:val="Normal"/>
    <w:link w:val="Ttulo1Car"/>
    <w:qFormat/>
    <w:rsid w:val="003F128F"/>
    <w:pPr>
      <w:keepNext/>
      <w:tabs>
        <w:tab w:val="left" w:pos="5580"/>
      </w:tabs>
      <w:jc w:val="center"/>
      <w:outlineLvl w:val="0"/>
    </w:pPr>
    <w:rPr>
      <w:b/>
      <w:lang w:val="en-US"/>
    </w:rPr>
  </w:style>
  <w:style w:type="paragraph" w:styleId="Ttulo2">
    <w:name w:val="heading 2"/>
    <w:basedOn w:val="Normal"/>
    <w:next w:val="Normal"/>
    <w:link w:val="Ttulo2Car"/>
    <w:qFormat/>
    <w:rsid w:val="003F128F"/>
    <w:pPr>
      <w:keepNext/>
      <w:numPr>
        <w:numId w:val="1"/>
      </w:numPr>
      <w:tabs>
        <w:tab w:val="clear" w:pos="1080"/>
      </w:tabs>
      <w:ind w:left="0" w:firstLine="0"/>
      <w:outlineLvl w:val="1"/>
    </w:pPr>
    <w:rPr>
      <w:b/>
      <w:bCs/>
      <w:lang w:val="es-MX"/>
    </w:rPr>
  </w:style>
  <w:style w:type="paragraph" w:styleId="Ttulo3">
    <w:name w:val="heading 3"/>
    <w:basedOn w:val="Normal"/>
    <w:next w:val="Normal"/>
    <w:link w:val="Ttulo3Car"/>
    <w:qFormat/>
    <w:rsid w:val="003F128F"/>
    <w:pPr>
      <w:keepNext/>
      <w:ind w:left="1080"/>
      <w:jc w:val="center"/>
      <w:outlineLvl w:val="2"/>
    </w:pPr>
    <w:rPr>
      <w:rFonts w:ascii="Arial Narrow" w:hAnsi="Arial Narrow" w:cs="Arial"/>
      <w:b/>
      <w:sz w:val="22"/>
    </w:rPr>
  </w:style>
  <w:style w:type="paragraph" w:styleId="Ttulo4">
    <w:name w:val="heading 4"/>
    <w:basedOn w:val="Normal"/>
    <w:next w:val="Normal"/>
    <w:link w:val="Ttulo4Car"/>
    <w:qFormat/>
    <w:rsid w:val="003F128F"/>
    <w:pPr>
      <w:keepNext/>
      <w:tabs>
        <w:tab w:val="left" w:pos="1800"/>
      </w:tabs>
      <w:jc w:val="both"/>
      <w:outlineLvl w:val="3"/>
    </w:pPr>
    <w:rPr>
      <w:rFonts w:ascii="Arial" w:hAnsi="Arial" w:cs="Arial"/>
      <w:sz w:val="28"/>
    </w:rPr>
  </w:style>
  <w:style w:type="paragraph" w:styleId="Ttulo5">
    <w:name w:val="heading 5"/>
    <w:basedOn w:val="Normal"/>
    <w:next w:val="Normal"/>
    <w:link w:val="Ttulo5Car"/>
    <w:qFormat/>
    <w:rsid w:val="003F128F"/>
    <w:pPr>
      <w:keepNext/>
      <w:ind w:left="110"/>
      <w:jc w:val="center"/>
      <w:outlineLvl w:val="4"/>
    </w:pPr>
    <w:rPr>
      <w:rFonts w:ascii="Arial Narrow" w:hAnsi="Arial Narrow" w:cs="Arial"/>
      <w:b/>
      <w:color w:val="FF0000"/>
      <w:sz w:val="22"/>
    </w:rPr>
  </w:style>
  <w:style w:type="paragraph" w:styleId="Ttulo6">
    <w:name w:val="heading 6"/>
    <w:basedOn w:val="Normal"/>
    <w:next w:val="Normal"/>
    <w:link w:val="Ttulo6Car"/>
    <w:qFormat/>
    <w:rsid w:val="003F128F"/>
    <w:pPr>
      <w:keepNext/>
      <w:ind w:left="110"/>
      <w:jc w:val="center"/>
      <w:outlineLvl w:val="5"/>
    </w:pPr>
    <w:rPr>
      <w:rFonts w:ascii="Arial Narrow" w:hAnsi="Arial Narrow" w:cs="Arial"/>
      <w:b/>
      <w:sz w:val="22"/>
    </w:rPr>
  </w:style>
  <w:style w:type="paragraph" w:styleId="Ttulo7">
    <w:name w:val="heading 7"/>
    <w:basedOn w:val="Normal"/>
    <w:next w:val="Normal"/>
    <w:link w:val="Ttulo7Car"/>
    <w:qFormat/>
    <w:rsid w:val="003F128F"/>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link w:val="Ttulo8Car"/>
    <w:qFormat/>
    <w:rsid w:val="003F128F"/>
    <w:pPr>
      <w:keepNext/>
      <w:jc w:val="both"/>
      <w:outlineLvl w:val="7"/>
    </w:pPr>
    <w:rPr>
      <w:rFonts w:ascii="Arial" w:hAnsi="Arial" w:cs="Arial"/>
      <w:b/>
      <w:bCs/>
      <w:color w:val="FF0000"/>
    </w:rPr>
  </w:style>
  <w:style w:type="paragraph" w:styleId="Ttulo9">
    <w:name w:val="heading 9"/>
    <w:basedOn w:val="Normal"/>
    <w:next w:val="Normal"/>
    <w:link w:val="Ttulo9Car"/>
    <w:qFormat/>
    <w:rsid w:val="003F128F"/>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B1EE0"/>
    <w:rPr>
      <w:b/>
      <w:sz w:val="24"/>
      <w:szCs w:val="24"/>
      <w:lang w:val="en-US" w:eastAsia="es-ES"/>
    </w:rPr>
  </w:style>
  <w:style w:type="character" w:customStyle="1" w:styleId="Ttulo2Car">
    <w:name w:val="Título 2 Car"/>
    <w:basedOn w:val="Fuentedeprrafopredeter"/>
    <w:link w:val="Ttulo2"/>
    <w:rsid w:val="00FB1EE0"/>
    <w:rPr>
      <w:b/>
      <w:bCs/>
      <w:sz w:val="24"/>
      <w:szCs w:val="24"/>
      <w:lang w:eastAsia="es-ES"/>
    </w:rPr>
  </w:style>
  <w:style w:type="character" w:customStyle="1" w:styleId="Ttulo3Car">
    <w:name w:val="Título 3 Car"/>
    <w:basedOn w:val="Fuentedeprrafopredeter"/>
    <w:link w:val="Ttulo3"/>
    <w:rsid w:val="00FB1EE0"/>
    <w:rPr>
      <w:rFonts w:ascii="Arial Narrow" w:hAnsi="Arial Narrow" w:cs="Arial"/>
      <w:b/>
      <w:sz w:val="22"/>
      <w:szCs w:val="24"/>
      <w:lang w:val="es-ES" w:eastAsia="es-ES"/>
    </w:rPr>
  </w:style>
  <w:style w:type="character" w:customStyle="1" w:styleId="Ttulo4Car">
    <w:name w:val="Título 4 Car"/>
    <w:basedOn w:val="Fuentedeprrafopredeter"/>
    <w:link w:val="Ttulo4"/>
    <w:rsid w:val="00FB1EE0"/>
    <w:rPr>
      <w:rFonts w:ascii="Arial" w:hAnsi="Arial" w:cs="Arial"/>
      <w:sz w:val="28"/>
      <w:szCs w:val="24"/>
      <w:lang w:val="es-ES" w:eastAsia="es-ES"/>
    </w:rPr>
  </w:style>
  <w:style w:type="character" w:customStyle="1" w:styleId="Ttulo5Car">
    <w:name w:val="Título 5 Car"/>
    <w:basedOn w:val="Fuentedeprrafopredeter"/>
    <w:link w:val="Ttulo5"/>
    <w:rsid w:val="00FB1EE0"/>
    <w:rPr>
      <w:rFonts w:ascii="Arial Narrow" w:hAnsi="Arial Narrow" w:cs="Arial"/>
      <w:b/>
      <w:color w:val="FF0000"/>
      <w:sz w:val="22"/>
      <w:szCs w:val="24"/>
      <w:lang w:val="es-ES" w:eastAsia="es-ES"/>
    </w:rPr>
  </w:style>
  <w:style w:type="character" w:customStyle="1" w:styleId="Ttulo6Car">
    <w:name w:val="Título 6 Car"/>
    <w:basedOn w:val="Fuentedeprrafopredeter"/>
    <w:link w:val="Ttulo6"/>
    <w:rsid w:val="00FB1EE0"/>
    <w:rPr>
      <w:rFonts w:ascii="Arial Narrow" w:hAnsi="Arial Narrow" w:cs="Arial"/>
      <w:b/>
      <w:sz w:val="22"/>
      <w:szCs w:val="24"/>
      <w:lang w:val="es-ES" w:eastAsia="es-ES"/>
    </w:rPr>
  </w:style>
  <w:style w:type="character" w:customStyle="1" w:styleId="Ttulo7Car">
    <w:name w:val="Título 7 Car"/>
    <w:basedOn w:val="Fuentedeprrafopredeter"/>
    <w:link w:val="Ttulo7"/>
    <w:rsid w:val="00FB1EE0"/>
    <w:rPr>
      <w:rFonts w:ascii="Arial" w:hAnsi="Arial" w:cs="Arial"/>
      <w:b/>
      <w:bCs/>
      <w:szCs w:val="24"/>
      <w:lang w:val="es-ES" w:eastAsia="es-ES"/>
    </w:rPr>
  </w:style>
  <w:style w:type="character" w:customStyle="1" w:styleId="Ttulo8Car">
    <w:name w:val="Título 8 Car"/>
    <w:basedOn w:val="Fuentedeprrafopredeter"/>
    <w:link w:val="Ttulo8"/>
    <w:rsid w:val="00FB1EE0"/>
    <w:rPr>
      <w:rFonts w:ascii="Arial" w:hAnsi="Arial" w:cs="Arial"/>
      <w:b/>
      <w:bCs/>
      <w:color w:val="FF0000"/>
      <w:sz w:val="24"/>
      <w:szCs w:val="24"/>
      <w:lang w:val="es-ES" w:eastAsia="es-ES"/>
    </w:rPr>
  </w:style>
  <w:style w:type="character" w:customStyle="1" w:styleId="Ttulo9Car">
    <w:name w:val="Título 9 Car"/>
    <w:basedOn w:val="Fuentedeprrafopredeter"/>
    <w:link w:val="Ttulo9"/>
    <w:rsid w:val="00FB1EE0"/>
    <w:rPr>
      <w:rFonts w:ascii="Arial" w:hAnsi="Arial"/>
      <w:sz w:val="24"/>
      <w:lang w:val="es-ES" w:eastAsia="es-ES"/>
    </w:rPr>
  </w:style>
  <w:style w:type="paragraph" w:styleId="Textoindependiente">
    <w:name w:val="Body Text"/>
    <w:basedOn w:val="Normal"/>
    <w:link w:val="TextoindependienteCar"/>
    <w:qFormat/>
    <w:rsid w:val="003F128F"/>
    <w:pPr>
      <w:spacing w:line="360" w:lineRule="auto"/>
      <w:jc w:val="both"/>
    </w:pPr>
    <w:rPr>
      <w:rFonts w:ascii="Arial" w:hAnsi="Arial" w:cs="Arial"/>
      <w:b/>
      <w:bCs/>
      <w:sz w:val="20"/>
    </w:rPr>
  </w:style>
  <w:style w:type="character" w:customStyle="1" w:styleId="TextoindependienteCar">
    <w:name w:val="Texto independiente Car"/>
    <w:basedOn w:val="Fuentedeprrafopredeter"/>
    <w:link w:val="Textoindependiente"/>
    <w:rsid w:val="00FB1EE0"/>
    <w:rPr>
      <w:rFonts w:ascii="Arial" w:hAnsi="Arial" w:cs="Arial"/>
      <w:b/>
      <w:bCs/>
      <w:szCs w:val="24"/>
      <w:lang w:val="es-ES" w:eastAsia="es-ES"/>
    </w:rPr>
  </w:style>
  <w:style w:type="paragraph" w:styleId="Textoindependiente3">
    <w:name w:val="Body Text 3"/>
    <w:basedOn w:val="Normal"/>
    <w:link w:val="Textoindependiente3Car"/>
    <w:rsid w:val="003F128F"/>
    <w:pPr>
      <w:spacing w:line="360" w:lineRule="auto"/>
      <w:jc w:val="both"/>
    </w:pPr>
    <w:rPr>
      <w:rFonts w:ascii="Arial" w:hAnsi="Arial"/>
      <w:sz w:val="20"/>
    </w:rPr>
  </w:style>
  <w:style w:type="character" w:customStyle="1" w:styleId="Textoindependiente3Car">
    <w:name w:val="Texto independiente 3 Car"/>
    <w:link w:val="Textoindependiente3"/>
    <w:rsid w:val="00F8315F"/>
    <w:rPr>
      <w:rFonts w:ascii="Arial" w:hAnsi="Arial" w:cs="Arial"/>
      <w:szCs w:val="24"/>
      <w:lang w:val="es-ES" w:eastAsia="es-ES"/>
    </w:rPr>
  </w:style>
  <w:style w:type="paragraph" w:styleId="Textoindependiente2">
    <w:name w:val="Body Text 2"/>
    <w:basedOn w:val="Normal"/>
    <w:link w:val="Textoindependiente2Car"/>
    <w:rsid w:val="003F128F"/>
    <w:rPr>
      <w:rFonts w:ascii="Tahoma" w:hAnsi="Tahoma" w:cs="Tahoma"/>
      <w:sz w:val="28"/>
      <w:lang w:val="es-MX"/>
    </w:rPr>
  </w:style>
  <w:style w:type="character" w:customStyle="1" w:styleId="Textoindependiente2Car">
    <w:name w:val="Texto independiente 2 Car"/>
    <w:basedOn w:val="Fuentedeprrafopredeter"/>
    <w:link w:val="Textoindependiente2"/>
    <w:rsid w:val="00FB1EE0"/>
    <w:rPr>
      <w:rFonts w:ascii="Tahoma" w:hAnsi="Tahoma" w:cs="Tahoma"/>
      <w:sz w:val="28"/>
      <w:szCs w:val="24"/>
      <w:lang w:eastAsia="es-ES"/>
    </w:rPr>
  </w:style>
  <w:style w:type="paragraph" w:customStyle="1" w:styleId="PRIMERAPLANA">
    <w:name w:val="PRIMERA PLANA"/>
    <w:basedOn w:val="Normal"/>
    <w:rsid w:val="003F128F"/>
    <w:pPr>
      <w:jc w:val="both"/>
    </w:pPr>
    <w:rPr>
      <w:rFonts w:ascii="Arial" w:hAnsi="Arial"/>
      <w:sz w:val="20"/>
      <w:szCs w:val="20"/>
      <w:lang w:val="es-ES_tradnl"/>
    </w:rPr>
  </w:style>
  <w:style w:type="paragraph" w:styleId="NormalWeb">
    <w:name w:val="Normal (Web)"/>
    <w:basedOn w:val="Normal"/>
    <w:uiPriority w:val="99"/>
    <w:rsid w:val="003F128F"/>
    <w:pPr>
      <w:spacing w:before="100" w:beforeAutospacing="1" w:after="100" w:afterAutospacing="1"/>
    </w:pPr>
  </w:style>
  <w:style w:type="paragraph" w:customStyle="1" w:styleId="Default">
    <w:name w:val="Default"/>
    <w:rsid w:val="003F128F"/>
    <w:pPr>
      <w:autoSpaceDE w:val="0"/>
      <w:autoSpaceDN w:val="0"/>
      <w:adjustRightInd w:val="0"/>
    </w:pPr>
    <w:rPr>
      <w:color w:val="000000"/>
      <w:sz w:val="24"/>
      <w:szCs w:val="24"/>
      <w:lang w:val="es-ES" w:eastAsia="es-ES"/>
    </w:rPr>
  </w:style>
  <w:style w:type="paragraph" w:styleId="Piedepgina">
    <w:name w:val="footer"/>
    <w:basedOn w:val="Normal"/>
    <w:link w:val="PiedepginaCar"/>
    <w:rsid w:val="003F128F"/>
    <w:pPr>
      <w:tabs>
        <w:tab w:val="center" w:pos="4419"/>
        <w:tab w:val="right" w:pos="8838"/>
      </w:tabs>
    </w:pPr>
  </w:style>
  <w:style w:type="character" w:customStyle="1" w:styleId="PiedepginaCar">
    <w:name w:val="Pie de página Car"/>
    <w:basedOn w:val="Fuentedeprrafopredeter"/>
    <w:link w:val="Piedepgina"/>
    <w:rsid w:val="00FB1EE0"/>
    <w:rPr>
      <w:sz w:val="24"/>
      <w:szCs w:val="24"/>
      <w:lang w:val="es-ES" w:eastAsia="es-ES"/>
    </w:rPr>
  </w:style>
  <w:style w:type="character" w:styleId="Nmerodepgina">
    <w:name w:val="page number"/>
    <w:basedOn w:val="Fuentedeprrafopredeter"/>
    <w:rsid w:val="003F128F"/>
  </w:style>
  <w:style w:type="paragraph" w:styleId="Encabezado">
    <w:name w:val="header"/>
    <w:basedOn w:val="Normal"/>
    <w:link w:val="EncabezadoCar"/>
    <w:rsid w:val="003F128F"/>
    <w:pPr>
      <w:tabs>
        <w:tab w:val="center" w:pos="4419"/>
        <w:tab w:val="right" w:pos="8838"/>
      </w:tabs>
    </w:pPr>
  </w:style>
  <w:style w:type="character" w:customStyle="1" w:styleId="EncabezadoCar">
    <w:name w:val="Encabezado Car"/>
    <w:basedOn w:val="Fuentedeprrafopredeter"/>
    <w:link w:val="Encabezado"/>
    <w:rsid w:val="00FB1EE0"/>
    <w:rPr>
      <w:sz w:val="24"/>
      <w:szCs w:val="24"/>
      <w:lang w:val="es-ES" w:eastAsia="es-ES"/>
    </w:rPr>
  </w:style>
  <w:style w:type="character" w:styleId="Hipervnculo">
    <w:name w:val="Hyperlink"/>
    <w:uiPriority w:val="99"/>
    <w:unhideWhenUsed/>
    <w:rsid w:val="003C7E4F"/>
    <w:rPr>
      <w:color w:val="0000FF"/>
      <w:u w:val="single"/>
    </w:rPr>
  </w:style>
  <w:style w:type="paragraph" w:styleId="Prrafodelista">
    <w:name w:val="List Paragraph"/>
    <w:basedOn w:val="Normal"/>
    <w:uiPriority w:val="34"/>
    <w:qFormat/>
    <w:rsid w:val="006627E8"/>
    <w:pPr>
      <w:ind w:left="708"/>
    </w:pPr>
  </w:style>
  <w:style w:type="paragraph" w:styleId="Sangra2detindependiente">
    <w:name w:val="Body Text Indent 2"/>
    <w:basedOn w:val="Normal"/>
    <w:link w:val="Sangra2detindependienteCar"/>
    <w:uiPriority w:val="99"/>
    <w:semiHidden/>
    <w:unhideWhenUsed/>
    <w:rsid w:val="008E0EB4"/>
    <w:pPr>
      <w:spacing w:after="120" w:line="480" w:lineRule="auto"/>
      <w:ind w:left="283"/>
    </w:pPr>
  </w:style>
  <w:style w:type="character" w:customStyle="1" w:styleId="Sangra2detindependienteCar">
    <w:name w:val="Sangría 2 de t. independiente Car"/>
    <w:link w:val="Sangra2detindependiente"/>
    <w:uiPriority w:val="99"/>
    <w:semiHidden/>
    <w:rsid w:val="008E0EB4"/>
    <w:rPr>
      <w:sz w:val="24"/>
      <w:szCs w:val="24"/>
      <w:lang w:val="es-ES" w:eastAsia="es-ES"/>
    </w:rPr>
  </w:style>
  <w:style w:type="table" w:styleId="Tablaconcuadrcula">
    <w:name w:val="Table Grid"/>
    <w:basedOn w:val="Tablanormal"/>
    <w:uiPriority w:val="39"/>
    <w:rsid w:val="00693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2">
    <w:name w:val="A12"/>
    <w:uiPriority w:val="99"/>
    <w:rsid w:val="004C11B7"/>
    <w:rPr>
      <w:rFonts w:cs="Univers LT"/>
      <w:b/>
      <w:bCs/>
      <w:color w:val="000000"/>
      <w:sz w:val="97"/>
      <w:szCs w:val="97"/>
    </w:rPr>
  </w:style>
  <w:style w:type="paragraph" w:styleId="Textodeglobo">
    <w:name w:val="Balloon Text"/>
    <w:basedOn w:val="Normal"/>
    <w:link w:val="TextodegloboCar"/>
    <w:uiPriority w:val="99"/>
    <w:unhideWhenUsed/>
    <w:rsid w:val="0070336A"/>
    <w:rPr>
      <w:rFonts w:ascii="Tahoma" w:hAnsi="Tahoma"/>
      <w:sz w:val="16"/>
      <w:szCs w:val="16"/>
    </w:rPr>
  </w:style>
  <w:style w:type="character" w:customStyle="1" w:styleId="TextodegloboCar">
    <w:name w:val="Texto de globo Car"/>
    <w:link w:val="Textodeglobo"/>
    <w:uiPriority w:val="99"/>
    <w:rsid w:val="0070336A"/>
    <w:rPr>
      <w:rFonts w:ascii="Tahoma" w:hAnsi="Tahoma" w:cs="Tahoma"/>
      <w:sz w:val="16"/>
      <w:szCs w:val="16"/>
    </w:rPr>
  </w:style>
  <w:style w:type="character" w:styleId="nfasis">
    <w:name w:val="Emphasis"/>
    <w:uiPriority w:val="20"/>
    <w:qFormat/>
    <w:rsid w:val="003C3149"/>
    <w:rPr>
      <w:i/>
      <w:iCs/>
    </w:rPr>
  </w:style>
  <w:style w:type="paragraph" w:styleId="Citadestacada">
    <w:name w:val="Intense Quote"/>
    <w:basedOn w:val="Normal"/>
    <w:next w:val="Normal"/>
    <w:link w:val="CitadestacadaCar"/>
    <w:uiPriority w:val="30"/>
    <w:qFormat/>
    <w:rsid w:val="00563CD2"/>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link w:val="Citadestacada"/>
    <w:uiPriority w:val="30"/>
    <w:rsid w:val="00563CD2"/>
    <w:rPr>
      <w:rFonts w:ascii="Calibri" w:eastAsia="Calibri" w:hAnsi="Calibri" w:cs="Times New Roman"/>
      <w:b/>
      <w:bCs/>
      <w:i/>
      <w:iCs/>
      <w:color w:val="4F81BD"/>
      <w:sz w:val="22"/>
      <w:szCs w:val="22"/>
      <w:lang w:eastAsia="en-US"/>
    </w:rPr>
  </w:style>
  <w:style w:type="paragraph" w:styleId="Textonotapie">
    <w:name w:val="footnote text"/>
    <w:basedOn w:val="Normal"/>
    <w:link w:val="TextonotapieCar"/>
    <w:uiPriority w:val="99"/>
    <w:semiHidden/>
    <w:unhideWhenUsed/>
    <w:rsid w:val="00563CD2"/>
    <w:rPr>
      <w:rFonts w:ascii="Calibri" w:eastAsia="Calibri" w:hAnsi="Calibri"/>
      <w:sz w:val="20"/>
      <w:szCs w:val="20"/>
      <w:lang w:eastAsia="en-US"/>
    </w:rPr>
  </w:style>
  <w:style w:type="character" w:customStyle="1" w:styleId="TextonotapieCar">
    <w:name w:val="Texto nota pie Car"/>
    <w:link w:val="Textonotapie"/>
    <w:uiPriority w:val="99"/>
    <w:semiHidden/>
    <w:rsid w:val="00563CD2"/>
    <w:rPr>
      <w:rFonts w:ascii="Calibri" w:eastAsia="Calibri" w:hAnsi="Calibri" w:cs="Times New Roman"/>
      <w:lang w:eastAsia="en-US"/>
    </w:rPr>
  </w:style>
  <w:style w:type="character" w:styleId="Refdenotaalpie">
    <w:name w:val="footnote reference"/>
    <w:uiPriority w:val="99"/>
    <w:semiHidden/>
    <w:unhideWhenUsed/>
    <w:rsid w:val="00563CD2"/>
    <w:rPr>
      <w:vertAlign w:val="superscript"/>
    </w:rPr>
  </w:style>
  <w:style w:type="character" w:customStyle="1" w:styleId="apple-converted-space">
    <w:name w:val="apple-converted-space"/>
    <w:basedOn w:val="Fuentedeprrafopredeter"/>
    <w:rsid w:val="00BA696E"/>
  </w:style>
  <w:style w:type="character" w:styleId="Textoennegrita">
    <w:name w:val="Strong"/>
    <w:uiPriority w:val="22"/>
    <w:qFormat/>
    <w:rsid w:val="00846076"/>
    <w:rPr>
      <w:b/>
      <w:bCs/>
    </w:rPr>
  </w:style>
  <w:style w:type="character" w:styleId="Hipervnculovisitado">
    <w:name w:val="FollowedHyperlink"/>
    <w:basedOn w:val="Fuentedeprrafopredeter"/>
    <w:uiPriority w:val="99"/>
    <w:semiHidden/>
    <w:unhideWhenUsed/>
    <w:rsid w:val="00C16FCE"/>
    <w:rPr>
      <w:color w:val="954F72"/>
      <w:u w:val="single"/>
    </w:rPr>
  </w:style>
  <w:style w:type="paragraph" w:customStyle="1" w:styleId="xl63">
    <w:name w:val="xl63"/>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rsid w:val="00C16FC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rsid w:val="00C16FC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rsid w:val="00C16FC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rsid w:val="00C16FCE"/>
    <w:pPr>
      <w:spacing w:before="100" w:beforeAutospacing="1" w:after="100" w:afterAutospacing="1"/>
    </w:pPr>
    <w:rPr>
      <w:sz w:val="16"/>
      <w:szCs w:val="16"/>
      <w:lang w:val="es-MX" w:eastAsia="es-MX"/>
    </w:rPr>
  </w:style>
  <w:style w:type="paragraph" w:customStyle="1" w:styleId="xl91">
    <w:name w:val="xl91"/>
    <w:basedOn w:val="Normal"/>
    <w:rsid w:val="00C16FCE"/>
    <w:pPr>
      <w:spacing w:before="100" w:beforeAutospacing="1" w:after="100" w:afterAutospacing="1"/>
    </w:pPr>
    <w:rPr>
      <w:sz w:val="16"/>
      <w:szCs w:val="16"/>
      <w:lang w:val="es-MX" w:eastAsia="es-MX"/>
    </w:rPr>
  </w:style>
  <w:style w:type="paragraph" w:customStyle="1" w:styleId="xl92">
    <w:name w:val="xl92"/>
    <w:basedOn w:val="Normal"/>
    <w:rsid w:val="00C16FCE"/>
    <w:pPr>
      <w:spacing w:before="100" w:beforeAutospacing="1" w:after="100" w:afterAutospacing="1"/>
      <w:textAlignment w:val="center"/>
    </w:pPr>
    <w:rPr>
      <w:sz w:val="16"/>
      <w:szCs w:val="16"/>
      <w:lang w:val="es-MX" w:eastAsia="es-MX"/>
    </w:rPr>
  </w:style>
  <w:style w:type="paragraph" w:customStyle="1" w:styleId="xl93">
    <w:name w:val="xl93"/>
    <w:basedOn w:val="Normal"/>
    <w:rsid w:val="00C16FC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rsid w:val="00C16FC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rsid w:val="00C16FCE"/>
    <w:pPr>
      <w:spacing w:before="100" w:beforeAutospacing="1" w:after="100" w:afterAutospacing="1"/>
    </w:pPr>
    <w:rPr>
      <w:sz w:val="16"/>
      <w:szCs w:val="16"/>
      <w:lang w:val="es-MX" w:eastAsia="es-MX"/>
    </w:rPr>
  </w:style>
  <w:style w:type="character" w:styleId="Refdecomentario">
    <w:name w:val="annotation reference"/>
    <w:basedOn w:val="Fuentedeprrafopredeter"/>
    <w:uiPriority w:val="99"/>
    <w:semiHidden/>
    <w:unhideWhenUsed/>
    <w:rsid w:val="00FC592B"/>
    <w:rPr>
      <w:sz w:val="16"/>
      <w:szCs w:val="16"/>
    </w:rPr>
  </w:style>
  <w:style w:type="paragraph" w:styleId="Textocomentario">
    <w:name w:val="annotation text"/>
    <w:basedOn w:val="Normal"/>
    <w:link w:val="TextocomentarioCar"/>
    <w:uiPriority w:val="99"/>
    <w:unhideWhenUsed/>
    <w:rsid w:val="00FC592B"/>
    <w:rPr>
      <w:sz w:val="20"/>
      <w:szCs w:val="20"/>
    </w:rPr>
  </w:style>
  <w:style w:type="character" w:customStyle="1" w:styleId="TextocomentarioCar">
    <w:name w:val="Texto comentario Car"/>
    <w:basedOn w:val="Fuentedeprrafopredeter"/>
    <w:link w:val="Textocomentario"/>
    <w:uiPriority w:val="99"/>
    <w:rsid w:val="00FC592B"/>
    <w:rPr>
      <w:lang w:val="es-ES" w:eastAsia="es-ES"/>
    </w:rPr>
  </w:style>
  <w:style w:type="paragraph" w:styleId="Asuntodelcomentario">
    <w:name w:val="annotation subject"/>
    <w:basedOn w:val="Textocomentario"/>
    <w:next w:val="Textocomentario"/>
    <w:link w:val="AsuntodelcomentarioCar"/>
    <w:uiPriority w:val="99"/>
    <w:semiHidden/>
    <w:unhideWhenUsed/>
    <w:rsid w:val="00FC592B"/>
    <w:rPr>
      <w:b/>
      <w:bCs/>
    </w:rPr>
  </w:style>
  <w:style w:type="character" w:customStyle="1" w:styleId="AsuntodelcomentarioCar">
    <w:name w:val="Asunto del comentario Car"/>
    <w:basedOn w:val="TextocomentarioCar"/>
    <w:link w:val="Asuntodelcomentario"/>
    <w:uiPriority w:val="99"/>
    <w:semiHidden/>
    <w:rsid w:val="00FC592B"/>
    <w:rPr>
      <w:b/>
      <w:bCs/>
      <w:lang w:val="es-ES" w:eastAsia="es-ES"/>
    </w:rPr>
  </w:style>
  <w:style w:type="paragraph" w:customStyle="1" w:styleId="Texto">
    <w:name w:val="Texto"/>
    <w:basedOn w:val="Normal"/>
    <w:link w:val="TextoCar"/>
    <w:qFormat/>
    <w:rsid w:val="00426F1E"/>
    <w:pPr>
      <w:spacing w:after="101" w:line="216" w:lineRule="exact"/>
      <w:ind w:firstLine="288"/>
      <w:jc w:val="both"/>
    </w:pPr>
    <w:rPr>
      <w:rFonts w:ascii="Arial" w:hAnsi="Arial" w:cs="Arial"/>
      <w:sz w:val="18"/>
      <w:szCs w:val="20"/>
    </w:rPr>
  </w:style>
  <w:style w:type="character" w:customStyle="1" w:styleId="TextoCar">
    <w:name w:val="Texto Car"/>
    <w:link w:val="Texto"/>
    <w:locked/>
    <w:rsid w:val="00426F1E"/>
    <w:rPr>
      <w:rFonts w:ascii="Arial" w:hAnsi="Arial" w:cs="Arial"/>
      <w:sz w:val="18"/>
      <w:lang w:val="es-ES" w:eastAsia="es-ES"/>
    </w:rPr>
  </w:style>
  <w:style w:type="paragraph" w:styleId="Textosinformato">
    <w:name w:val="Plain Text"/>
    <w:basedOn w:val="Normal"/>
    <w:link w:val="TextosinformatoCar"/>
    <w:rsid w:val="00426F1E"/>
    <w:rPr>
      <w:rFonts w:ascii="Courier New" w:hAnsi="Courier New" w:cs="Courier New"/>
      <w:sz w:val="20"/>
      <w:szCs w:val="20"/>
    </w:rPr>
  </w:style>
  <w:style w:type="character" w:customStyle="1" w:styleId="TextosinformatoCar">
    <w:name w:val="Texto sin formato Car"/>
    <w:basedOn w:val="Fuentedeprrafopredeter"/>
    <w:link w:val="Textosinformato"/>
    <w:rsid w:val="00426F1E"/>
    <w:rPr>
      <w:rFonts w:ascii="Courier New" w:hAnsi="Courier New" w:cs="Courier New"/>
      <w:lang w:val="es-ES" w:eastAsia="es-ES"/>
    </w:rPr>
  </w:style>
  <w:style w:type="numbering" w:customStyle="1" w:styleId="Sinlista1">
    <w:name w:val="Sin lista1"/>
    <w:next w:val="Sinlista"/>
    <w:uiPriority w:val="99"/>
    <w:semiHidden/>
    <w:unhideWhenUsed/>
    <w:rsid w:val="0008023A"/>
  </w:style>
  <w:style w:type="paragraph" w:styleId="Revisin">
    <w:name w:val="Revision"/>
    <w:hidden/>
    <w:uiPriority w:val="99"/>
    <w:semiHidden/>
    <w:rsid w:val="0008023A"/>
    <w:rPr>
      <w:rFonts w:ascii="Arial" w:eastAsia="Calibri" w:hAnsi="Arial" w:cs="Arial"/>
      <w:sz w:val="24"/>
      <w:szCs w:val="24"/>
      <w:lang w:eastAsia="en-US"/>
    </w:rPr>
  </w:style>
  <w:style w:type="numbering" w:customStyle="1" w:styleId="Sinlista11">
    <w:name w:val="Sin lista11"/>
    <w:next w:val="Sinlista"/>
    <w:uiPriority w:val="99"/>
    <w:semiHidden/>
    <w:unhideWhenUsed/>
    <w:rsid w:val="0008023A"/>
  </w:style>
  <w:style w:type="paragraph" w:customStyle="1" w:styleId="Estilo">
    <w:name w:val="Estilo"/>
    <w:basedOn w:val="Sinespaciado"/>
    <w:link w:val="EstiloCar"/>
    <w:qFormat/>
    <w:rsid w:val="0008023A"/>
    <w:rPr>
      <w:rFonts w:ascii="Arial" w:eastAsia="Times New Roman" w:hAnsi="Arial"/>
      <w:sz w:val="20"/>
    </w:rPr>
  </w:style>
  <w:style w:type="paragraph" w:styleId="Sinespaciado">
    <w:name w:val="No Spacing"/>
    <w:link w:val="SinespaciadoCar"/>
    <w:uiPriority w:val="1"/>
    <w:qFormat/>
    <w:rsid w:val="0008023A"/>
    <w:pPr>
      <w:jc w:val="both"/>
    </w:pPr>
    <w:rPr>
      <w:rFonts w:ascii="Calibri" w:eastAsia="Calibri" w:hAnsi="Calibri"/>
      <w:sz w:val="22"/>
      <w:szCs w:val="22"/>
      <w:lang w:val="es-ES" w:eastAsia="es-ES"/>
    </w:rPr>
  </w:style>
  <w:style w:type="character" w:customStyle="1" w:styleId="EstiloCar">
    <w:name w:val="Estilo Car"/>
    <w:link w:val="Estilo"/>
    <w:rsid w:val="0008023A"/>
    <w:rPr>
      <w:rFonts w:ascii="Arial" w:hAnsi="Arial"/>
      <w:szCs w:val="22"/>
      <w:lang w:val="es-ES" w:eastAsia="es-ES"/>
    </w:rPr>
  </w:style>
  <w:style w:type="character" w:customStyle="1" w:styleId="TextodegloboCar1">
    <w:name w:val="Texto de globo Car1"/>
    <w:uiPriority w:val="99"/>
    <w:semiHidden/>
    <w:rsid w:val="0008023A"/>
    <w:rPr>
      <w:rFonts w:ascii="Tahoma" w:hAnsi="Tahoma" w:cs="Tahoma"/>
      <w:sz w:val="16"/>
      <w:szCs w:val="16"/>
    </w:rPr>
  </w:style>
  <w:style w:type="character" w:customStyle="1" w:styleId="TtuloCar2">
    <w:name w:val="Título Car2"/>
    <w:link w:val="Ttulo"/>
    <w:uiPriority w:val="99"/>
    <w:rsid w:val="0008023A"/>
    <w:rPr>
      <w:rFonts w:ascii="Cambria" w:hAnsi="Cambria"/>
      <w:color w:val="17365D"/>
      <w:spacing w:val="5"/>
      <w:kern w:val="28"/>
      <w:sz w:val="52"/>
      <w:szCs w:val="52"/>
      <w:lang w:val="es-ES" w:eastAsia="es-ES"/>
    </w:rPr>
  </w:style>
  <w:style w:type="character" w:styleId="Ttulodellibro">
    <w:name w:val="Book Title"/>
    <w:uiPriority w:val="33"/>
    <w:qFormat/>
    <w:rsid w:val="0008023A"/>
    <w:rPr>
      <w:b/>
      <w:bCs/>
      <w:smallCaps/>
      <w:spacing w:val="5"/>
    </w:rPr>
  </w:style>
  <w:style w:type="character" w:styleId="Referenciasutil">
    <w:name w:val="Subtle Reference"/>
    <w:uiPriority w:val="31"/>
    <w:qFormat/>
    <w:rsid w:val="0008023A"/>
    <w:rPr>
      <w:smallCaps/>
      <w:color w:val="C0504D"/>
      <w:u w:val="single"/>
    </w:rPr>
  </w:style>
  <w:style w:type="paragraph" w:customStyle="1" w:styleId="Estilo2">
    <w:name w:val="Estilo2"/>
    <w:basedOn w:val="Estilo"/>
    <w:link w:val="Estilo2Car"/>
    <w:rsid w:val="0008023A"/>
    <w:pPr>
      <w:spacing w:line="360" w:lineRule="auto"/>
    </w:pPr>
  </w:style>
  <w:style w:type="character" w:customStyle="1" w:styleId="Estilo2Car">
    <w:name w:val="Estilo2 Car"/>
    <w:link w:val="Estilo2"/>
    <w:rsid w:val="0008023A"/>
    <w:rPr>
      <w:rFonts w:ascii="Arial" w:hAnsi="Arial"/>
      <w:szCs w:val="22"/>
      <w:lang w:val="es-ES" w:eastAsia="es-ES"/>
    </w:rPr>
  </w:style>
  <w:style w:type="paragraph" w:customStyle="1" w:styleId="WW-BodyText2">
    <w:name w:val="WW-Body Text 2"/>
    <w:basedOn w:val="Normal"/>
    <w:uiPriority w:val="99"/>
    <w:rsid w:val="0008023A"/>
    <w:pPr>
      <w:suppressAutoHyphens/>
      <w:ind w:right="424"/>
      <w:jc w:val="both"/>
    </w:pPr>
    <w:rPr>
      <w:rFonts w:ascii="Arial" w:hAnsi="Arial" w:cs="Arial"/>
      <w:szCs w:val="20"/>
      <w:lang w:val="es-ES_tradnl" w:eastAsia="ar-SA"/>
    </w:rPr>
  </w:style>
  <w:style w:type="character" w:customStyle="1" w:styleId="AsuntodelcomentarioCar1">
    <w:name w:val="Asunto del comentario Car1"/>
    <w:basedOn w:val="TextocomentarioCar"/>
    <w:uiPriority w:val="99"/>
    <w:rsid w:val="0008023A"/>
    <w:rPr>
      <w:rFonts w:ascii="Calibri" w:eastAsia="Times New Roman" w:hAnsi="Calibri" w:cs="Times New Roman"/>
      <w:b/>
      <w:bCs/>
      <w:sz w:val="20"/>
      <w:szCs w:val="20"/>
      <w:lang w:val="es-ES" w:eastAsia="es-ES"/>
    </w:rPr>
  </w:style>
  <w:style w:type="paragraph" w:customStyle="1" w:styleId="Textoindependiente22">
    <w:name w:val="Texto independiente 22"/>
    <w:basedOn w:val="Normal"/>
    <w:uiPriority w:val="99"/>
    <w:rsid w:val="0008023A"/>
    <w:pPr>
      <w:overflowPunct w:val="0"/>
      <w:autoSpaceDE w:val="0"/>
      <w:autoSpaceDN w:val="0"/>
      <w:adjustRightInd w:val="0"/>
      <w:ind w:right="424"/>
      <w:jc w:val="both"/>
      <w:textAlignment w:val="baseline"/>
    </w:pPr>
    <w:rPr>
      <w:rFonts w:ascii="Arial" w:hAnsi="Arial"/>
      <w:szCs w:val="20"/>
      <w:lang w:val="es-ES_tradnl"/>
    </w:rPr>
  </w:style>
  <w:style w:type="paragraph" w:styleId="Sangra3detindependiente">
    <w:name w:val="Body Text Indent 3"/>
    <w:basedOn w:val="Normal"/>
    <w:link w:val="Sangra3detindependienteCar"/>
    <w:uiPriority w:val="99"/>
    <w:rsid w:val="0008023A"/>
    <w:pPr>
      <w:spacing w:after="120"/>
      <w:ind w:left="283"/>
    </w:pPr>
    <w:rPr>
      <w:sz w:val="16"/>
      <w:szCs w:val="16"/>
      <w:lang w:val="es-MX" w:eastAsia="es-MX"/>
    </w:rPr>
  </w:style>
  <w:style w:type="character" w:customStyle="1" w:styleId="Sangra3detindependienteCar">
    <w:name w:val="Sangría 3 de t. independiente Car"/>
    <w:basedOn w:val="Fuentedeprrafopredeter"/>
    <w:link w:val="Sangra3detindependiente"/>
    <w:uiPriority w:val="99"/>
    <w:rsid w:val="0008023A"/>
    <w:rPr>
      <w:sz w:val="16"/>
      <w:szCs w:val="16"/>
    </w:rPr>
  </w:style>
  <w:style w:type="paragraph" w:customStyle="1" w:styleId="xl30">
    <w:name w:val="xl30"/>
    <w:basedOn w:val="Normal"/>
    <w:uiPriority w:val="99"/>
    <w:rsid w:val="0008023A"/>
    <w:pPr>
      <w:spacing w:before="100" w:beforeAutospacing="1" w:after="100" w:afterAutospacing="1"/>
    </w:pPr>
    <w:rPr>
      <w:rFonts w:ascii="Arial" w:eastAsia="Arial Unicode MS" w:hAnsi="Arial" w:cs="Arial"/>
    </w:rPr>
  </w:style>
  <w:style w:type="character" w:customStyle="1" w:styleId="SinespaciadoCar">
    <w:name w:val="Sin espaciado Car"/>
    <w:link w:val="Sinespaciado"/>
    <w:uiPriority w:val="1"/>
    <w:rsid w:val="0008023A"/>
    <w:rPr>
      <w:rFonts w:ascii="Calibri" w:eastAsia="Calibri" w:hAnsi="Calibri"/>
      <w:sz w:val="22"/>
      <w:szCs w:val="22"/>
      <w:lang w:val="es-ES" w:eastAsia="es-ES"/>
    </w:rPr>
  </w:style>
  <w:style w:type="character" w:customStyle="1" w:styleId="ANOTACIONCar">
    <w:name w:val="ANOTACION Car"/>
    <w:link w:val="ANOTACION"/>
    <w:locked/>
    <w:rsid w:val="0008023A"/>
    <w:rPr>
      <w:b/>
      <w:bCs/>
      <w:lang w:eastAsia="es-ES"/>
    </w:rPr>
  </w:style>
  <w:style w:type="paragraph" w:customStyle="1" w:styleId="ANOTACION">
    <w:name w:val="ANOTACION"/>
    <w:basedOn w:val="Normal"/>
    <w:link w:val="ANOTACIONCar"/>
    <w:rsid w:val="0008023A"/>
    <w:pPr>
      <w:spacing w:before="101" w:after="101" w:line="216" w:lineRule="atLeast"/>
      <w:jc w:val="center"/>
    </w:pPr>
    <w:rPr>
      <w:b/>
      <w:bCs/>
      <w:sz w:val="20"/>
      <w:szCs w:val="20"/>
      <w:lang w:val="es-MX"/>
    </w:rPr>
  </w:style>
  <w:style w:type="character" w:customStyle="1" w:styleId="estilocorreo34">
    <w:name w:val="estilocorreo34"/>
    <w:semiHidden/>
    <w:rsid w:val="0008023A"/>
    <w:rPr>
      <w:rFonts w:ascii="Calibri" w:hAnsi="Calibri" w:cs="Calibri" w:hint="default"/>
      <w:color w:val="auto"/>
    </w:rPr>
  </w:style>
  <w:style w:type="numbering" w:customStyle="1" w:styleId="Sinlista111">
    <w:name w:val="Sin lista111"/>
    <w:next w:val="Sinlista"/>
    <w:uiPriority w:val="99"/>
    <w:semiHidden/>
    <w:unhideWhenUsed/>
    <w:rsid w:val="0008023A"/>
  </w:style>
  <w:style w:type="table" w:customStyle="1" w:styleId="Tablaconcuadrcula1">
    <w:name w:val="Tabla con cuadrícula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8">
    <w:name w:val="xl98"/>
    <w:basedOn w:val="Normal"/>
    <w:uiPriority w:val="99"/>
    <w:rsid w:val="0008023A"/>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99">
    <w:name w:val="xl99"/>
    <w:basedOn w:val="Normal"/>
    <w:uiPriority w:val="99"/>
    <w:rsid w:val="0008023A"/>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00">
    <w:name w:val="xl100"/>
    <w:basedOn w:val="Normal"/>
    <w:uiPriority w:val="99"/>
    <w:rsid w:val="0008023A"/>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01">
    <w:name w:val="xl101"/>
    <w:basedOn w:val="Normal"/>
    <w:uiPriority w:val="99"/>
    <w:rsid w:val="0008023A"/>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02">
    <w:name w:val="xl102"/>
    <w:basedOn w:val="Normal"/>
    <w:uiPriority w:val="99"/>
    <w:rsid w:val="0008023A"/>
    <w:pPr>
      <w:pBdr>
        <w:top w:val="single" w:sz="8" w:space="0" w:color="auto"/>
      </w:pBdr>
      <w:spacing w:before="100" w:beforeAutospacing="1" w:after="100" w:afterAutospacing="1"/>
      <w:textAlignment w:val="top"/>
    </w:pPr>
    <w:rPr>
      <w:lang w:val="es-MX" w:eastAsia="es-MX"/>
    </w:rPr>
  </w:style>
  <w:style w:type="paragraph" w:customStyle="1" w:styleId="xl103">
    <w:name w:val="xl103"/>
    <w:basedOn w:val="Normal"/>
    <w:uiPriority w:val="99"/>
    <w:rsid w:val="0008023A"/>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04">
    <w:name w:val="xl104"/>
    <w:basedOn w:val="Normal"/>
    <w:uiPriority w:val="99"/>
    <w:rsid w:val="0008023A"/>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05">
    <w:name w:val="xl105"/>
    <w:basedOn w:val="Normal"/>
    <w:uiPriority w:val="99"/>
    <w:rsid w:val="0008023A"/>
    <w:pPr>
      <w:pBdr>
        <w:bottom w:val="single" w:sz="8" w:space="0" w:color="auto"/>
      </w:pBdr>
      <w:spacing w:before="100" w:beforeAutospacing="1" w:after="100" w:afterAutospacing="1"/>
      <w:textAlignment w:val="top"/>
    </w:pPr>
    <w:rPr>
      <w:lang w:val="es-MX" w:eastAsia="es-MX"/>
    </w:rPr>
  </w:style>
  <w:style w:type="paragraph" w:customStyle="1" w:styleId="xl106">
    <w:name w:val="xl106"/>
    <w:basedOn w:val="Normal"/>
    <w:uiPriority w:val="99"/>
    <w:rsid w:val="0008023A"/>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7">
    <w:name w:val="xl107"/>
    <w:basedOn w:val="Normal"/>
    <w:uiPriority w:val="99"/>
    <w:rsid w:val="0008023A"/>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8">
    <w:name w:val="xl108"/>
    <w:basedOn w:val="Normal"/>
    <w:uiPriority w:val="99"/>
    <w:rsid w:val="0008023A"/>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09">
    <w:name w:val="xl109"/>
    <w:basedOn w:val="Normal"/>
    <w:uiPriority w:val="99"/>
    <w:rsid w:val="0008023A"/>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10">
    <w:name w:val="xl110"/>
    <w:basedOn w:val="Normal"/>
    <w:uiPriority w:val="99"/>
    <w:rsid w:val="0008023A"/>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1">
    <w:name w:val="xl111"/>
    <w:basedOn w:val="Normal"/>
    <w:uiPriority w:val="99"/>
    <w:rsid w:val="0008023A"/>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2">
    <w:name w:val="xl112"/>
    <w:basedOn w:val="Normal"/>
    <w:uiPriority w:val="99"/>
    <w:rsid w:val="0008023A"/>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13">
    <w:name w:val="xl113"/>
    <w:basedOn w:val="Normal"/>
    <w:uiPriority w:val="99"/>
    <w:rsid w:val="0008023A"/>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14">
    <w:name w:val="xl114"/>
    <w:basedOn w:val="Normal"/>
    <w:uiPriority w:val="99"/>
    <w:rsid w:val="0008023A"/>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5">
    <w:name w:val="xl115"/>
    <w:basedOn w:val="Normal"/>
    <w:uiPriority w:val="99"/>
    <w:rsid w:val="0008023A"/>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6">
    <w:name w:val="xl116"/>
    <w:basedOn w:val="Normal"/>
    <w:uiPriority w:val="99"/>
    <w:rsid w:val="0008023A"/>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7">
    <w:name w:val="xl117"/>
    <w:basedOn w:val="Normal"/>
    <w:uiPriority w:val="99"/>
    <w:rsid w:val="0008023A"/>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8">
    <w:name w:val="xl118"/>
    <w:basedOn w:val="Normal"/>
    <w:uiPriority w:val="99"/>
    <w:rsid w:val="0008023A"/>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9">
    <w:name w:val="xl119"/>
    <w:basedOn w:val="Normal"/>
    <w:uiPriority w:val="99"/>
    <w:rsid w:val="0008023A"/>
    <w:pPr>
      <w:pBdr>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0">
    <w:name w:val="xl120"/>
    <w:basedOn w:val="Normal"/>
    <w:uiPriority w:val="99"/>
    <w:rsid w:val="0008023A"/>
    <w:pPr>
      <w:pBdr>
        <w:bottom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1">
    <w:name w:val="xl121"/>
    <w:basedOn w:val="Normal"/>
    <w:uiPriority w:val="99"/>
    <w:rsid w:val="0008023A"/>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2">
    <w:name w:val="xl122"/>
    <w:basedOn w:val="Normal"/>
    <w:uiPriority w:val="99"/>
    <w:rsid w:val="0008023A"/>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3">
    <w:name w:val="xl123"/>
    <w:basedOn w:val="Normal"/>
    <w:uiPriority w:val="99"/>
    <w:rsid w:val="0008023A"/>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4">
    <w:name w:val="xl124"/>
    <w:basedOn w:val="Normal"/>
    <w:uiPriority w:val="99"/>
    <w:rsid w:val="0008023A"/>
    <w:pPr>
      <w:pBdr>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25">
    <w:name w:val="xl125"/>
    <w:basedOn w:val="Normal"/>
    <w:uiPriority w:val="99"/>
    <w:rsid w:val="0008023A"/>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6">
    <w:name w:val="xl126"/>
    <w:basedOn w:val="Normal"/>
    <w:uiPriority w:val="99"/>
    <w:rsid w:val="0008023A"/>
    <w:pPr>
      <w:pBdr>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7">
    <w:name w:val="xl127"/>
    <w:basedOn w:val="Normal"/>
    <w:uiPriority w:val="99"/>
    <w:rsid w:val="0008023A"/>
    <w:pPr>
      <w:pBdr>
        <w:bottom w:val="single" w:sz="8" w:space="0" w:color="auto"/>
        <w:right w:val="single" w:sz="8" w:space="0" w:color="auto"/>
      </w:pBdr>
      <w:spacing w:before="100" w:beforeAutospacing="1" w:after="100" w:afterAutospacing="1"/>
      <w:textAlignment w:val="center"/>
    </w:pPr>
    <w:rPr>
      <w:color w:val="000000"/>
      <w:sz w:val="18"/>
      <w:szCs w:val="18"/>
      <w:lang w:val="es-MX" w:eastAsia="es-MX"/>
    </w:rPr>
  </w:style>
  <w:style w:type="paragraph" w:customStyle="1" w:styleId="xl128">
    <w:name w:val="xl128"/>
    <w:basedOn w:val="Normal"/>
    <w:uiPriority w:val="99"/>
    <w:rsid w:val="0008023A"/>
    <w:pPr>
      <w:pBdr>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9">
    <w:name w:val="xl129"/>
    <w:basedOn w:val="Normal"/>
    <w:uiPriority w:val="99"/>
    <w:rsid w:val="0008023A"/>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0">
    <w:name w:val="xl130"/>
    <w:basedOn w:val="Normal"/>
    <w:uiPriority w:val="99"/>
    <w:rsid w:val="0008023A"/>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1">
    <w:name w:val="xl131"/>
    <w:basedOn w:val="Normal"/>
    <w:uiPriority w:val="99"/>
    <w:rsid w:val="0008023A"/>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2">
    <w:name w:val="xl132"/>
    <w:basedOn w:val="Normal"/>
    <w:uiPriority w:val="99"/>
    <w:rsid w:val="0008023A"/>
    <w:pPr>
      <w:pBdr>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3">
    <w:name w:val="xl133"/>
    <w:basedOn w:val="Normal"/>
    <w:uiPriority w:val="99"/>
    <w:rsid w:val="0008023A"/>
    <w:pPr>
      <w:pBdr>
        <w:bottom w:val="single" w:sz="8" w:space="0" w:color="auto"/>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4">
    <w:name w:val="xl134"/>
    <w:basedOn w:val="Normal"/>
    <w:uiPriority w:val="99"/>
    <w:rsid w:val="0008023A"/>
    <w:pPr>
      <w:pBdr>
        <w:left w:val="single" w:sz="8" w:space="0" w:color="auto"/>
        <w:bottom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35">
    <w:name w:val="xl135"/>
    <w:basedOn w:val="Normal"/>
    <w:uiPriority w:val="99"/>
    <w:rsid w:val="0008023A"/>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36">
    <w:name w:val="xl136"/>
    <w:basedOn w:val="Normal"/>
    <w:uiPriority w:val="99"/>
    <w:rsid w:val="0008023A"/>
    <w:pPr>
      <w:pBdr>
        <w:top w:val="single" w:sz="8" w:space="0" w:color="auto"/>
        <w:lef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7">
    <w:name w:val="xl137"/>
    <w:basedOn w:val="Normal"/>
    <w:uiPriority w:val="99"/>
    <w:rsid w:val="0008023A"/>
    <w:pPr>
      <w:pBdr>
        <w:top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8">
    <w:name w:val="xl138"/>
    <w:basedOn w:val="Normal"/>
    <w:uiPriority w:val="99"/>
    <w:rsid w:val="0008023A"/>
    <w:pPr>
      <w:pBdr>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9">
    <w:name w:val="xl139"/>
    <w:basedOn w:val="Normal"/>
    <w:uiPriority w:val="99"/>
    <w:rsid w:val="0008023A"/>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0">
    <w:name w:val="xl140"/>
    <w:basedOn w:val="Normal"/>
    <w:uiPriority w:val="99"/>
    <w:rsid w:val="0008023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41">
    <w:name w:val="xl141"/>
    <w:basedOn w:val="Normal"/>
    <w:uiPriority w:val="99"/>
    <w:rsid w:val="0008023A"/>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42">
    <w:name w:val="xl142"/>
    <w:basedOn w:val="Normal"/>
    <w:uiPriority w:val="99"/>
    <w:rsid w:val="0008023A"/>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3">
    <w:name w:val="xl143"/>
    <w:basedOn w:val="Normal"/>
    <w:uiPriority w:val="99"/>
    <w:rsid w:val="0008023A"/>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4">
    <w:name w:val="xl144"/>
    <w:basedOn w:val="Normal"/>
    <w:uiPriority w:val="99"/>
    <w:rsid w:val="0008023A"/>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5">
    <w:name w:val="xl145"/>
    <w:basedOn w:val="Normal"/>
    <w:uiPriority w:val="99"/>
    <w:rsid w:val="0008023A"/>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6">
    <w:name w:val="xl146"/>
    <w:basedOn w:val="Normal"/>
    <w:uiPriority w:val="99"/>
    <w:rsid w:val="0008023A"/>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47">
    <w:name w:val="xl147"/>
    <w:basedOn w:val="Normal"/>
    <w:uiPriority w:val="99"/>
    <w:rsid w:val="0008023A"/>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48">
    <w:name w:val="xl148"/>
    <w:basedOn w:val="Normal"/>
    <w:uiPriority w:val="99"/>
    <w:rsid w:val="0008023A"/>
    <w:pPr>
      <w:pBdr>
        <w:top w:val="single" w:sz="8" w:space="0" w:color="auto"/>
      </w:pBdr>
      <w:spacing w:before="100" w:beforeAutospacing="1" w:after="100" w:afterAutospacing="1"/>
      <w:textAlignment w:val="top"/>
    </w:pPr>
    <w:rPr>
      <w:lang w:val="es-MX" w:eastAsia="es-MX"/>
    </w:rPr>
  </w:style>
  <w:style w:type="paragraph" w:customStyle="1" w:styleId="xl149">
    <w:name w:val="xl149"/>
    <w:basedOn w:val="Normal"/>
    <w:uiPriority w:val="99"/>
    <w:rsid w:val="0008023A"/>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50">
    <w:name w:val="xl150"/>
    <w:basedOn w:val="Normal"/>
    <w:uiPriority w:val="99"/>
    <w:rsid w:val="0008023A"/>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51">
    <w:name w:val="xl151"/>
    <w:basedOn w:val="Normal"/>
    <w:uiPriority w:val="99"/>
    <w:rsid w:val="0008023A"/>
    <w:pPr>
      <w:pBdr>
        <w:bottom w:val="single" w:sz="8" w:space="0" w:color="auto"/>
      </w:pBdr>
      <w:spacing w:before="100" w:beforeAutospacing="1" w:after="100" w:afterAutospacing="1"/>
      <w:textAlignment w:val="top"/>
    </w:pPr>
    <w:rPr>
      <w:lang w:val="es-MX" w:eastAsia="es-MX"/>
    </w:rPr>
  </w:style>
  <w:style w:type="paragraph" w:customStyle="1" w:styleId="xl152">
    <w:name w:val="xl152"/>
    <w:basedOn w:val="Normal"/>
    <w:uiPriority w:val="99"/>
    <w:rsid w:val="0008023A"/>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3">
    <w:name w:val="xl153"/>
    <w:basedOn w:val="Normal"/>
    <w:uiPriority w:val="99"/>
    <w:rsid w:val="0008023A"/>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4">
    <w:name w:val="xl154"/>
    <w:basedOn w:val="Normal"/>
    <w:uiPriority w:val="99"/>
    <w:rsid w:val="0008023A"/>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55">
    <w:name w:val="xl155"/>
    <w:basedOn w:val="Normal"/>
    <w:uiPriority w:val="99"/>
    <w:rsid w:val="0008023A"/>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56">
    <w:name w:val="xl156"/>
    <w:basedOn w:val="Normal"/>
    <w:uiPriority w:val="99"/>
    <w:rsid w:val="0008023A"/>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7">
    <w:name w:val="xl157"/>
    <w:basedOn w:val="Normal"/>
    <w:uiPriority w:val="99"/>
    <w:rsid w:val="0008023A"/>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8">
    <w:name w:val="xl158"/>
    <w:basedOn w:val="Normal"/>
    <w:uiPriority w:val="99"/>
    <w:rsid w:val="0008023A"/>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59">
    <w:name w:val="xl159"/>
    <w:basedOn w:val="Normal"/>
    <w:uiPriority w:val="99"/>
    <w:rsid w:val="0008023A"/>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60">
    <w:name w:val="xl160"/>
    <w:basedOn w:val="Normal"/>
    <w:uiPriority w:val="99"/>
    <w:rsid w:val="0008023A"/>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1">
    <w:name w:val="xl161"/>
    <w:basedOn w:val="Normal"/>
    <w:uiPriority w:val="99"/>
    <w:rsid w:val="0008023A"/>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2">
    <w:name w:val="xl162"/>
    <w:basedOn w:val="Normal"/>
    <w:uiPriority w:val="99"/>
    <w:rsid w:val="0008023A"/>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ecxmsonormal">
    <w:name w:val="ecxmsonormal"/>
    <w:basedOn w:val="Normal"/>
    <w:uiPriority w:val="99"/>
    <w:rsid w:val="0008023A"/>
    <w:pPr>
      <w:spacing w:after="324"/>
    </w:pPr>
    <w:rPr>
      <w:lang w:val="es-MX" w:eastAsia="es-MX"/>
    </w:rPr>
  </w:style>
  <w:style w:type="paragraph" w:customStyle="1" w:styleId="font5">
    <w:name w:val="font5"/>
    <w:basedOn w:val="Normal"/>
    <w:uiPriority w:val="99"/>
    <w:rsid w:val="0008023A"/>
    <w:pP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uiPriority w:val="99"/>
    <w:rsid w:val="0008023A"/>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4">
    <w:name w:val="xl164"/>
    <w:basedOn w:val="Normal"/>
    <w:uiPriority w:val="99"/>
    <w:rsid w:val="0008023A"/>
    <w:pPr>
      <w:pBdr>
        <w:top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5">
    <w:name w:val="xl165"/>
    <w:basedOn w:val="Normal"/>
    <w:uiPriority w:val="99"/>
    <w:rsid w:val="0008023A"/>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6">
    <w:name w:val="xl166"/>
    <w:basedOn w:val="Normal"/>
    <w:uiPriority w:val="99"/>
    <w:rsid w:val="0008023A"/>
    <w:pPr>
      <w:pBdr>
        <w:top w:val="single" w:sz="8" w:space="0" w:color="333333"/>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7">
    <w:name w:val="xl167"/>
    <w:basedOn w:val="Normal"/>
    <w:uiPriority w:val="99"/>
    <w:rsid w:val="0008023A"/>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8">
    <w:name w:val="xl168"/>
    <w:basedOn w:val="Normal"/>
    <w:uiPriority w:val="99"/>
    <w:rsid w:val="0008023A"/>
    <w:pPr>
      <w:pBdr>
        <w:top w:val="single" w:sz="8" w:space="0" w:color="333333"/>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9">
    <w:name w:val="xl169"/>
    <w:basedOn w:val="Normal"/>
    <w:uiPriority w:val="99"/>
    <w:rsid w:val="0008023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0">
    <w:name w:val="xl170"/>
    <w:basedOn w:val="Normal"/>
    <w:uiPriority w:val="99"/>
    <w:rsid w:val="0008023A"/>
    <w:pPr>
      <w:pBdr>
        <w:top w:val="single" w:sz="8" w:space="0" w:color="auto"/>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1">
    <w:name w:val="xl171"/>
    <w:basedOn w:val="Normal"/>
    <w:uiPriority w:val="99"/>
    <w:rsid w:val="0008023A"/>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2">
    <w:name w:val="xl172"/>
    <w:basedOn w:val="Normal"/>
    <w:uiPriority w:val="99"/>
    <w:rsid w:val="0008023A"/>
    <w:pPr>
      <w:pBdr>
        <w:top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3">
    <w:name w:val="xl173"/>
    <w:basedOn w:val="Normal"/>
    <w:uiPriority w:val="99"/>
    <w:rsid w:val="0008023A"/>
    <w:pPr>
      <w:pBdr>
        <w:top w:val="single" w:sz="8" w:space="0" w:color="auto"/>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4">
    <w:name w:val="xl174"/>
    <w:basedOn w:val="Normal"/>
    <w:uiPriority w:val="99"/>
    <w:rsid w:val="0008023A"/>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5">
    <w:name w:val="xl175"/>
    <w:basedOn w:val="Normal"/>
    <w:uiPriority w:val="99"/>
    <w:rsid w:val="0008023A"/>
    <w:pPr>
      <w:pBdr>
        <w:top w:val="single" w:sz="8" w:space="0" w:color="333333"/>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6">
    <w:name w:val="xl176"/>
    <w:basedOn w:val="Normal"/>
    <w:uiPriority w:val="99"/>
    <w:rsid w:val="0008023A"/>
    <w:pPr>
      <w:pBdr>
        <w:top w:val="single" w:sz="8" w:space="0" w:color="333333"/>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7">
    <w:name w:val="xl177"/>
    <w:basedOn w:val="Normal"/>
    <w:uiPriority w:val="99"/>
    <w:rsid w:val="0008023A"/>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8">
    <w:name w:val="xl178"/>
    <w:basedOn w:val="Normal"/>
    <w:uiPriority w:val="99"/>
    <w:rsid w:val="0008023A"/>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9">
    <w:name w:val="xl179"/>
    <w:basedOn w:val="Normal"/>
    <w:uiPriority w:val="99"/>
    <w:rsid w:val="0008023A"/>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0">
    <w:name w:val="xl180"/>
    <w:basedOn w:val="Normal"/>
    <w:uiPriority w:val="99"/>
    <w:rsid w:val="0008023A"/>
    <w:pPr>
      <w:pBdr>
        <w:top w:val="single" w:sz="8" w:space="0" w:color="333333"/>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1">
    <w:name w:val="xl181"/>
    <w:basedOn w:val="Normal"/>
    <w:uiPriority w:val="99"/>
    <w:rsid w:val="0008023A"/>
    <w:pPr>
      <w:pBdr>
        <w:top w:val="single" w:sz="8" w:space="0" w:color="333333"/>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2">
    <w:name w:val="xl182"/>
    <w:basedOn w:val="Normal"/>
    <w:uiPriority w:val="99"/>
    <w:rsid w:val="0008023A"/>
    <w:pPr>
      <w:pBdr>
        <w:top w:val="single" w:sz="8" w:space="0" w:color="auto"/>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3">
    <w:name w:val="xl183"/>
    <w:basedOn w:val="Normal"/>
    <w:uiPriority w:val="99"/>
    <w:rsid w:val="0008023A"/>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4">
    <w:name w:val="xl184"/>
    <w:basedOn w:val="Normal"/>
    <w:uiPriority w:val="99"/>
    <w:rsid w:val="0008023A"/>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5">
    <w:name w:val="xl185"/>
    <w:basedOn w:val="Normal"/>
    <w:uiPriority w:val="99"/>
    <w:rsid w:val="0008023A"/>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6">
    <w:name w:val="xl186"/>
    <w:basedOn w:val="Normal"/>
    <w:uiPriority w:val="99"/>
    <w:rsid w:val="0008023A"/>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7">
    <w:name w:val="xl187"/>
    <w:basedOn w:val="Normal"/>
    <w:uiPriority w:val="99"/>
    <w:rsid w:val="0008023A"/>
    <w:pPr>
      <w:pBdr>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8">
    <w:name w:val="xl188"/>
    <w:basedOn w:val="Normal"/>
    <w:uiPriority w:val="99"/>
    <w:rsid w:val="0008023A"/>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9">
    <w:name w:val="xl189"/>
    <w:basedOn w:val="Normal"/>
    <w:uiPriority w:val="99"/>
    <w:rsid w:val="0008023A"/>
    <w:pPr>
      <w:pBdr>
        <w:right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0">
    <w:name w:val="xl190"/>
    <w:basedOn w:val="Normal"/>
    <w:uiPriority w:val="99"/>
    <w:rsid w:val="0008023A"/>
    <w:pPr>
      <w:pBdr>
        <w:top w:val="single" w:sz="8" w:space="0" w:color="auto"/>
        <w:lef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1">
    <w:name w:val="xl191"/>
    <w:basedOn w:val="Normal"/>
    <w:uiPriority w:val="99"/>
    <w:rsid w:val="0008023A"/>
    <w:pPr>
      <w:pBdr>
        <w:top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2">
    <w:name w:val="xl192"/>
    <w:basedOn w:val="Normal"/>
    <w:uiPriority w:val="99"/>
    <w:rsid w:val="0008023A"/>
    <w:pPr>
      <w:pBdr>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3">
    <w:name w:val="xl193"/>
    <w:basedOn w:val="Normal"/>
    <w:uiPriority w:val="99"/>
    <w:rsid w:val="0008023A"/>
    <w:pPr>
      <w:pBdr>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4">
    <w:name w:val="xl194"/>
    <w:basedOn w:val="Normal"/>
    <w:uiPriority w:val="99"/>
    <w:rsid w:val="0008023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5">
    <w:name w:val="xl195"/>
    <w:basedOn w:val="Normal"/>
    <w:uiPriority w:val="99"/>
    <w:rsid w:val="0008023A"/>
    <w:pPr>
      <w:pBdr>
        <w:top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6">
    <w:name w:val="xl196"/>
    <w:basedOn w:val="Normal"/>
    <w:uiPriority w:val="99"/>
    <w:rsid w:val="0008023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7">
    <w:name w:val="xl197"/>
    <w:basedOn w:val="Normal"/>
    <w:uiPriority w:val="99"/>
    <w:rsid w:val="0008023A"/>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8">
    <w:name w:val="xl198"/>
    <w:basedOn w:val="Normal"/>
    <w:uiPriority w:val="99"/>
    <w:rsid w:val="0008023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9">
    <w:name w:val="xl199"/>
    <w:basedOn w:val="Normal"/>
    <w:uiPriority w:val="99"/>
    <w:rsid w:val="0008023A"/>
    <w:pPr>
      <w:pBdr>
        <w:bottom w:val="single" w:sz="8" w:space="0" w:color="333333"/>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0">
    <w:name w:val="xl200"/>
    <w:basedOn w:val="Normal"/>
    <w:uiPriority w:val="99"/>
    <w:rsid w:val="0008023A"/>
    <w:pPr>
      <w:pBdr>
        <w:bottom w:val="single" w:sz="8" w:space="0" w:color="333333"/>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1">
    <w:name w:val="xl201"/>
    <w:basedOn w:val="Normal"/>
    <w:uiPriority w:val="99"/>
    <w:rsid w:val="0008023A"/>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2">
    <w:name w:val="xl202"/>
    <w:basedOn w:val="Normal"/>
    <w:uiPriority w:val="99"/>
    <w:rsid w:val="0008023A"/>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3">
    <w:name w:val="xl203"/>
    <w:basedOn w:val="Normal"/>
    <w:uiPriority w:val="99"/>
    <w:rsid w:val="0008023A"/>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4">
    <w:name w:val="xl204"/>
    <w:basedOn w:val="Normal"/>
    <w:uiPriority w:val="99"/>
    <w:rsid w:val="0008023A"/>
    <w:pPr>
      <w:pBdr>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5">
    <w:name w:val="xl205"/>
    <w:basedOn w:val="Normal"/>
    <w:uiPriority w:val="99"/>
    <w:rsid w:val="0008023A"/>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b/>
      <w:bCs/>
      <w:color w:val="000000"/>
      <w:sz w:val="20"/>
      <w:szCs w:val="20"/>
      <w:lang w:val="es-MX" w:eastAsia="es-MX"/>
    </w:rPr>
  </w:style>
  <w:style w:type="paragraph" w:customStyle="1" w:styleId="xl206">
    <w:name w:val="xl206"/>
    <w:basedOn w:val="Normal"/>
    <w:uiPriority w:val="99"/>
    <w:rsid w:val="0008023A"/>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color w:val="000000"/>
      <w:sz w:val="20"/>
      <w:szCs w:val="20"/>
      <w:lang w:val="es-MX" w:eastAsia="es-MX"/>
    </w:rPr>
  </w:style>
  <w:style w:type="paragraph" w:customStyle="1" w:styleId="xl207">
    <w:name w:val="xl207"/>
    <w:basedOn w:val="Normal"/>
    <w:uiPriority w:val="99"/>
    <w:rsid w:val="0008023A"/>
    <w:pPr>
      <w:pBdr>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8">
    <w:name w:val="xl208"/>
    <w:basedOn w:val="Normal"/>
    <w:uiPriority w:val="99"/>
    <w:rsid w:val="0008023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9">
    <w:name w:val="xl209"/>
    <w:basedOn w:val="Normal"/>
    <w:uiPriority w:val="99"/>
    <w:rsid w:val="0008023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0">
    <w:name w:val="xl210"/>
    <w:basedOn w:val="Normal"/>
    <w:uiPriority w:val="99"/>
    <w:rsid w:val="0008023A"/>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1">
    <w:name w:val="xl211"/>
    <w:basedOn w:val="Normal"/>
    <w:uiPriority w:val="99"/>
    <w:rsid w:val="0008023A"/>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2">
    <w:name w:val="xl212"/>
    <w:basedOn w:val="Normal"/>
    <w:uiPriority w:val="99"/>
    <w:rsid w:val="0008023A"/>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3">
    <w:name w:val="xl213"/>
    <w:basedOn w:val="Normal"/>
    <w:uiPriority w:val="99"/>
    <w:rsid w:val="0008023A"/>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4">
    <w:name w:val="xl214"/>
    <w:basedOn w:val="Normal"/>
    <w:uiPriority w:val="99"/>
    <w:rsid w:val="0008023A"/>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5">
    <w:name w:val="xl215"/>
    <w:basedOn w:val="Normal"/>
    <w:uiPriority w:val="99"/>
    <w:rsid w:val="0008023A"/>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6">
    <w:name w:val="xl216"/>
    <w:basedOn w:val="Normal"/>
    <w:uiPriority w:val="99"/>
    <w:rsid w:val="0008023A"/>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7">
    <w:name w:val="xl217"/>
    <w:basedOn w:val="Normal"/>
    <w:uiPriority w:val="99"/>
    <w:rsid w:val="0008023A"/>
    <w:pPr>
      <w:pBdr>
        <w:left w:val="single" w:sz="8" w:space="0" w:color="auto"/>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8">
    <w:name w:val="xl218"/>
    <w:basedOn w:val="Normal"/>
    <w:uiPriority w:val="99"/>
    <w:rsid w:val="0008023A"/>
    <w:pPr>
      <w:pBdr>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9">
    <w:name w:val="xl219"/>
    <w:basedOn w:val="Normal"/>
    <w:uiPriority w:val="99"/>
    <w:rsid w:val="0008023A"/>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0">
    <w:name w:val="xl220"/>
    <w:basedOn w:val="Normal"/>
    <w:uiPriority w:val="99"/>
    <w:rsid w:val="0008023A"/>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221">
    <w:name w:val="xl221"/>
    <w:basedOn w:val="Normal"/>
    <w:uiPriority w:val="99"/>
    <w:rsid w:val="0008023A"/>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character" w:customStyle="1" w:styleId="Absatz-Standardschriftart">
    <w:name w:val="Absatz-Standardschriftart"/>
    <w:rsid w:val="0008023A"/>
  </w:style>
  <w:style w:type="character" w:customStyle="1" w:styleId="WW-Absatz-Standardschriftart">
    <w:name w:val="WW-Absatz-Standardschriftart"/>
    <w:rsid w:val="0008023A"/>
  </w:style>
  <w:style w:type="character" w:customStyle="1" w:styleId="WW-Absatz-Standardschriftart1">
    <w:name w:val="WW-Absatz-Standardschriftart1"/>
    <w:rsid w:val="0008023A"/>
  </w:style>
  <w:style w:type="character" w:customStyle="1" w:styleId="WW-Absatz-Standardschriftart11">
    <w:name w:val="WW-Absatz-Standardschriftart11"/>
    <w:rsid w:val="0008023A"/>
  </w:style>
  <w:style w:type="character" w:customStyle="1" w:styleId="WW-Absatz-Standardschriftart111">
    <w:name w:val="WW-Absatz-Standardschriftart111"/>
    <w:rsid w:val="0008023A"/>
  </w:style>
  <w:style w:type="character" w:customStyle="1" w:styleId="WW8Num2z0">
    <w:name w:val="WW8Num2z0"/>
    <w:rsid w:val="0008023A"/>
    <w:rPr>
      <w:rFonts w:ascii="Wingdings" w:hAnsi="Wingdings" w:cs="Wingdings"/>
    </w:rPr>
  </w:style>
  <w:style w:type="character" w:customStyle="1" w:styleId="WW8Num3z0">
    <w:name w:val="WW8Num3z0"/>
    <w:rsid w:val="0008023A"/>
    <w:rPr>
      <w:rFonts w:ascii="Symbol" w:hAnsi="Symbol" w:cs="Symbol"/>
    </w:rPr>
  </w:style>
  <w:style w:type="character" w:customStyle="1" w:styleId="WW8Num3z1">
    <w:name w:val="WW8Num3z1"/>
    <w:rsid w:val="0008023A"/>
    <w:rPr>
      <w:rFonts w:ascii="Courier New" w:hAnsi="Courier New" w:cs="Courier New"/>
    </w:rPr>
  </w:style>
  <w:style w:type="character" w:customStyle="1" w:styleId="WW8Num3z2">
    <w:name w:val="WW8Num3z2"/>
    <w:rsid w:val="0008023A"/>
    <w:rPr>
      <w:rFonts w:ascii="Wingdings" w:hAnsi="Wingdings" w:cs="Wingdings"/>
    </w:rPr>
  </w:style>
  <w:style w:type="character" w:customStyle="1" w:styleId="WW8Num4z0">
    <w:name w:val="WW8Num4z0"/>
    <w:rsid w:val="0008023A"/>
    <w:rPr>
      <w:rFonts w:ascii="Symbol" w:hAnsi="Symbol" w:cs="Symbol"/>
    </w:rPr>
  </w:style>
  <w:style w:type="character" w:customStyle="1" w:styleId="WW8Num4z1">
    <w:name w:val="WW8Num4z1"/>
    <w:rsid w:val="0008023A"/>
    <w:rPr>
      <w:rFonts w:ascii="Courier New" w:hAnsi="Courier New" w:cs="Courier New"/>
    </w:rPr>
  </w:style>
  <w:style w:type="character" w:customStyle="1" w:styleId="WW8Num4z2">
    <w:name w:val="WW8Num4z2"/>
    <w:rsid w:val="0008023A"/>
    <w:rPr>
      <w:rFonts w:ascii="Wingdings" w:hAnsi="Wingdings" w:cs="Wingdings"/>
    </w:rPr>
  </w:style>
  <w:style w:type="character" w:customStyle="1" w:styleId="WW8Num5z0">
    <w:name w:val="WW8Num5z0"/>
    <w:rsid w:val="0008023A"/>
    <w:rPr>
      <w:rFonts w:ascii="Symbol" w:hAnsi="Symbol" w:cs="Symbol"/>
    </w:rPr>
  </w:style>
  <w:style w:type="character" w:customStyle="1" w:styleId="WW8Num5z1">
    <w:name w:val="WW8Num5z1"/>
    <w:rsid w:val="0008023A"/>
    <w:rPr>
      <w:rFonts w:ascii="Courier New" w:hAnsi="Courier New" w:cs="Courier New"/>
    </w:rPr>
  </w:style>
  <w:style w:type="character" w:customStyle="1" w:styleId="WW8Num5z2">
    <w:name w:val="WW8Num5z2"/>
    <w:rsid w:val="0008023A"/>
    <w:rPr>
      <w:rFonts w:ascii="Wingdings" w:hAnsi="Wingdings" w:cs="Wingdings"/>
    </w:rPr>
  </w:style>
  <w:style w:type="character" w:customStyle="1" w:styleId="WW8Num6z0">
    <w:name w:val="WW8Num6z0"/>
    <w:rsid w:val="0008023A"/>
    <w:rPr>
      <w:rFonts w:ascii="Symbol" w:hAnsi="Symbol" w:cs="Symbol"/>
    </w:rPr>
  </w:style>
  <w:style w:type="character" w:customStyle="1" w:styleId="WW8Num6z1">
    <w:name w:val="WW8Num6z1"/>
    <w:rsid w:val="0008023A"/>
    <w:rPr>
      <w:rFonts w:ascii="Courier New" w:hAnsi="Courier New" w:cs="Courier New"/>
    </w:rPr>
  </w:style>
  <w:style w:type="character" w:customStyle="1" w:styleId="WW8Num6z2">
    <w:name w:val="WW8Num6z2"/>
    <w:rsid w:val="0008023A"/>
    <w:rPr>
      <w:rFonts w:ascii="Wingdings" w:hAnsi="Wingdings" w:cs="Wingdings"/>
    </w:rPr>
  </w:style>
  <w:style w:type="character" w:customStyle="1" w:styleId="WW8Num7z0">
    <w:name w:val="WW8Num7z0"/>
    <w:rsid w:val="0008023A"/>
    <w:rPr>
      <w:rFonts w:ascii="Symbol" w:hAnsi="Symbol" w:cs="Symbol"/>
    </w:rPr>
  </w:style>
  <w:style w:type="character" w:customStyle="1" w:styleId="WW8Num8z0">
    <w:name w:val="WW8Num8z0"/>
    <w:rsid w:val="0008023A"/>
    <w:rPr>
      <w:rFonts w:ascii="Wingdings" w:hAnsi="Wingdings" w:cs="Wingdings"/>
    </w:rPr>
  </w:style>
  <w:style w:type="character" w:customStyle="1" w:styleId="WW8Num9z0">
    <w:name w:val="WW8Num9z0"/>
    <w:rsid w:val="0008023A"/>
    <w:rPr>
      <w:rFonts w:ascii="Wingdings" w:hAnsi="Wingdings" w:cs="Wingdings"/>
    </w:rPr>
  </w:style>
  <w:style w:type="character" w:customStyle="1" w:styleId="WW8NumSt3z0">
    <w:name w:val="WW8NumSt3z0"/>
    <w:rsid w:val="0008023A"/>
    <w:rPr>
      <w:rFonts w:ascii="Arial" w:hAnsi="Arial" w:cs="Arial"/>
      <w:sz w:val="32"/>
    </w:rPr>
  </w:style>
  <w:style w:type="character" w:customStyle="1" w:styleId="Fuentedeprrafopredeter1">
    <w:name w:val="Fuente de párrafo predeter.1"/>
    <w:rsid w:val="0008023A"/>
  </w:style>
  <w:style w:type="paragraph" w:customStyle="1" w:styleId="Encabezado1">
    <w:name w:val="Encabezado1"/>
    <w:basedOn w:val="Normal"/>
    <w:next w:val="Textoindependiente"/>
    <w:uiPriority w:val="99"/>
    <w:rsid w:val="0008023A"/>
    <w:pPr>
      <w:keepNext/>
      <w:suppressAutoHyphens/>
      <w:spacing w:before="240" w:after="120"/>
    </w:pPr>
    <w:rPr>
      <w:rFonts w:ascii="Arial" w:eastAsia="WenQuanYi Micro Hei" w:hAnsi="Arial" w:cs="Lohit Hindi"/>
      <w:sz w:val="28"/>
      <w:szCs w:val="28"/>
      <w:lang w:eastAsia="ar-SA"/>
    </w:rPr>
  </w:style>
  <w:style w:type="paragraph" w:styleId="Lista">
    <w:name w:val="List"/>
    <w:basedOn w:val="Textoindependiente"/>
    <w:uiPriority w:val="99"/>
    <w:rsid w:val="0008023A"/>
    <w:pPr>
      <w:suppressAutoHyphens/>
      <w:spacing w:line="240" w:lineRule="auto"/>
      <w:jc w:val="left"/>
    </w:pPr>
    <w:rPr>
      <w:rFonts w:cs="Lohit Hindi"/>
      <w:b w:val="0"/>
      <w:bCs w:val="0"/>
      <w:sz w:val="16"/>
      <w:szCs w:val="20"/>
      <w:lang w:eastAsia="ar-SA"/>
    </w:rPr>
  </w:style>
  <w:style w:type="paragraph" w:customStyle="1" w:styleId="Etiqueta">
    <w:name w:val="Etiqueta"/>
    <w:basedOn w:val="Normal"/>
    <w:uiPriority w:val="99"/>
    <w:rsid w:val="0008023A"/>
    <w:pPr>
      <w:suppressLineNumbers/>
      <w:suppressAutoHyphens/>
      <w:spacing w:before="120" w:after="120"/>
    </w:pPr>
    <w:rPr>
      <w:rFonts w:cs="Lohit Hindi"/>
      <w:i/>
      <w:iCs/>
      <w:lang w:eastAsia="ar-SA"/>
    </w:rPr>
  </w:style>
  <w:style w:type="paragraph" w:customStyle="1" w:styleId="ndice">
    <w:name w:val="Índice"/>
    <w:basedOn w:val="Normal"/>
    <w:uiPriority w:val="99"/>
    <w:rsid w:val="0008023A"/>
    <w:pPr>
      <w:suppressLineNumbers/>
      <w:suppressAutoHyphens/>
    </w:pPr>
    <w:rPr>
      <w:rFonts w:cs="Lohit Hindi"/>
      <w:sz w:val="20"/>
      <w:szCs w:val="20"/>
      <w:lang w:eastAsia="ar-SA"/>
    </w:rPr>
  </w:style>
  <w:style w:type="paragraph" w:customStyle="1" w:styleId="Contenidodelatabla">
    <w:name w:val="Contenido de la tabla"/>
    <w:basedOn w:val="Normal"/>
    <w:uiPriority w:val="99"/>
    <w:rsid w:val="0008023A"/>
    <w:pPr>
      <w:suppressLineNumbers/>
      <w:suppressAutoHyphens/>
    </w:pPr>
    <w:rPr>
      <w:sz w:val="20"/>
      <w:szCs w:val="20"/>
      <w:lang w:eastAsia="ar-SA"/>
    </w:rPr>
  </w:style>
  <w:style w:type="paragraph" w:customStyle="1" w:styleId="Encabezadodelatabla">
    <w:name w:val="Encabezado de la tabla"/>
    <w:basedOn w:val="Contenidodelatabla"/>
    <w:uiPriority w:val="99"/>
    <w:rsid w:val="0008023A"/>
    <w:pPr>
      <w:jc w:val="center"/>
    </w:pPr>
    <w:rPr>
      <w:b/>
      <w:bCs/>
    </w:rPr>
  </w:style>
  <w:style w:type="paragraph" w:customStyle="1" w:styleId="Contenidodelmarco">
    <w:name w:val="Contenido del marco"/>
    <w:basedOn w:val="Textoindependiente"/>
    <w:uiPriority w:val="99"/>
    <w:rsid w:val="0008023A"/>
    <w:pPr>
      <w:suppressAutoHyphens/>
      <w:spacing w:line="240" w:lineRule="auto"/>
      <w:jc w:val="left"/>
    </w:pPr>
    <w:rPr>
      <w:b w:val="0"/>
      <w:bCs w:val="0"/>
      <w:sz w:val="16"/>
      <w:szCs w:val="20"/>
      <w:lang w:eastAsia="ar-SA"/>
    </w:rPr>
  </w:style>
  <w:style w:type="paragraph" w:customStyle="1" w:styleId="xl222">
    <w:name w:val="xl222"/>
    <w:basedOn w:val="Normal"/>
    <w:uiPriority w:val="99"/>
    <w:rsid w:val="0008023A"/>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3">
    <w:name w:val="xl223"/>
    <w:basedOn w:val="Normal"/>
    <w:uiPriority w:val="99"/>
    <w:rsid w:val="0008023A"/>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4">
    <w:name w:val="xl224"/>
    <w:basedOn w:val="Normal"/>
    <w:uiPriority w:val="99"/>
    <w:rsid w:val="0008023A"/>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5">
    <w:name w:val="xl225"/>
    <w:basedOn w:val="Normal"/>
    <w:uiPriority w:val="99"/>
    <w:rsid w:val="0008023A"/>
    <w:pPr>
      <w:pBdr>
        <w:top w:val="single" w:sz="8" w:space="0" w:color="333333"/>
        <w:left w:val="single" w:sz="8" w:space="0" w:color="333333"/>
        <w:bottom w:val="single" w:sz="8" w:space="0" w:color="333333"/>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226">
    <w:name w:val="xl226"/>
    <w:basedOn w:val="Normal"/>
    <w:uiPriority w:val="99"/>
    <w:rsid w:val="0008023A"/>
    <w:pPr>
      <w:pBdr>
        <w:top w:val="single" w:sz="8" w:space="0" w:color="333333"/>
        <w:left w:val="single" w:sz="8" w:space="0" w:color="333333"/>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7">
    <w:name w:val="xl227"/>
    <w:basedOn w:val="Normal"/>
    <w:uiPriority w:val="99"/>
    <w:rsid w:val="0008023A"/>
    <w:pPr>
      <w:pBdr>
        <w:bottom w:val="single" w:sz="8" w:space="0" w:color="333333"/>
        <w:right w:val="single" w:sz="8" w:space="0" w:color="333333"/>
      </w:pBdr>
      <w:shd w:val="clear" w:color="000000" w:fill="FFFF00"/>
      <w:spacing w:before="100" w:beforeAutospacing="1" w:after="100" w:afterAutospacing="1"/>
      <w:jc w:val="right"/>
      <w:textAlignment w:val="center"/>
    </w:pPr>
    <w:rPr>
      <w:b/>
      <w:bCs/>
      <w:color w:val="000000"/>
      <w:sz w:val="16"/>
      <w:szCs w:val="16"/>
      <w:lang w:val="es-MX" w:eastAsia="es-MX"/>
    </w:rPr>
  </w:style>
  <w:style w:type="paragraph" w:customStyle="1" w:styleId="xl228">
    <w:name w:val="xl228"/>
    <w:basedOn w:val="Normal"/>
    <w:uiPriority w:val="99"/>
    <w:rsid w:val="0008023A"/>
    <w:pPr>
      <w:pBdr>
        <w:bottom w:val="single" w:sz="8" w:space="0" w:color="333333"/>
        <w:right w:val="single" w:sz="8" w:space="0" w:color="333333"/>
      </w:pBdr>
      <w:shd w:val="clear" w:color="000000" w:fill="FFC000"/>
      <w:spacing w:before="100" w:beforeAutospacing="1" w:after="100" w:afterAutospacing="1"/>
      <w:jc w:val="right"/>
      <w:textAlignment w:val="center"/>
    </w:pPr>
    <w:rPr>
      <w:b/>
      <w:bCs/>
      <w:color w:val="000000"/>
      <w:sz w:val="16"/>
      <w:szCs w:val="16"/>
      <w:lang w:val="es-MX" w:eastAsia="es-MX"/>
    </w:rPr>
  </w:style>
  <w:style w:type="paragraph" w:customStyle="1" w:styleId="xl229">
    <w:name w:val="xl229"/>
    <w:basedOn w:val="Normal"/>
    <w:uiPriority w:val="99"/>
    <w:rsid w:val="0008023A"/>
    <w:pPr>
      <w:pBdr>
        <w:top w:val="single" w:sz="8" w:space="0" w:color="auto"/>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0">
    <w:name w:val="xl230"/>
    <w:basedOn w:val="Normal"/>
    <w:uiPriority w:val="99"/>
    <w:rsid w:val="0008023A"/>
    <w:pPr>
      <w:pBdr>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1">
    <w:name w:val="xl231"/>
    <w:basedOn w:val="Normal"/>
    <w:uiPriority w:val="99"/>
    <w:rsid w:val="0008023A"/>
    <w:pPr>
      <w:pBdr>
        <w:bottom w:val="single" w:sz="8" w:space="0" w:color="auto"/>
        <w:right w:val="single" w:sz="8" w:space="0" w:color="auto"/>
      </w:pBdr>
      <w:shd w:val="clear" w:color="000000" w:fill="FF0000"/>
      <w:spacing w:before="100" w:beforeAutospacing="1" w:after="100" w:afterAutospacing="1"/>
      <w:jc w:val="right"/>
      <w:textAlignment w:val="center"/>
    </w:pPr>
    <w:rPr>
      <w:b/>
      <w:bCs/>
      <w:color w:val="000000"/>
      <w:sz w:val="16"/>
      <w:szCs w:val="16"/>
      <w:lang w:val="es-MX" w:eastAsia="es-MX"/>
    </w:rPr>
  </w:style>
  <w:style w:type="table" w:customStyle="1" w:styleId="Sombreadoclaro1">
    <w:name w:val="Sombreado claro1"/>
    <w:basedOn w:val="Tablanormal"/>
    <w:uiPriority w:val="60"/>
    <w:rsid w:val="0008023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8023A"/>
  </w:style>
  <w:style w:type="table" w:customStyle="1" w:styleId="Tablaconcuadrcula51">
    <w:name w:val="Tabla con cuadrícula5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8023A"/>
  </w:style>
  <w:style w:type="paragraph" w:customStyle="1" w:styleId="ecxmsolistparagraph">
    <w:name w:val="ecxmsolistparagraph"/>
    <w:basedOn w:val="Normal"/>
    <w:uiPriority w:val="99"/>
    <w:rsid w:val="0008023A"/>
    <w:pPr>
      <w:spacing w:after="324"/>
    </w:pPr>
    <w:rPr>
      <w:lang w:val="es-MX" w:eastAsia="es-MX"/>
    </w:rPr>
  </w:style>
  <w:style w:type="numbering" w:customStyle="1" w:styleId="Sinlista4">
    <w:name w:val="Sin lista4"/>
    <w:next w:val="Sinlista"/>
    <w:uiPriority w:val="99"/>
    <w:semiHidden/>
    <w:unhideWhenUsed/>
    <w:rsid w:val="0008023A"/>
  </w:style>
  <w:style w:type="table" w:customStyle="1" w:styleId="Tablaconcuadrcula53">
    <w:name w:val="Tabla con cuadrícula53"/>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8023A"/>
    <w:pPr>
      <w:jc w:val="both"/>
    </w:pPr>
    <w:rPr>
      <w:rFonts w:ascii="Calibri" w:hAnsi="Calibri"/>
      <w:sz w:val="22"/>
      <w:szCs w:val="22"/>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08023A"/>
  </w:style>
  <w:style w:type="numbering" w:customStyle="1" w:styleId="Sinlista12">
    <w:name w:val="Sin lista12"/>
    <w:next w:val="Sinlista"/>
    <w:uiPriority w:val="99"/>
    <w:semiHidden/>
    <w:unhideWhenUsed/>
    <w:rsid w:val="0008023A"/>
  </w:style>
  <w:style w:type="table" w:customStyle="1" w:styleId="Tablaconcuadrcula9">
    <w:name w:val="Tabla con cuadrícula9"/>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08023A"/>
  </w:style>
  <w:style w:type="table" w:customStyle="1" w:styleId="Tablaconcuadrcula11">
    <w:name w:val="Tabla con cuadrícula1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
    <w:name w:val="Sombreado claro11"/>
    <w:basedOn w:val="Tablanormal"/>
    <w:uiPriority w:val="60"/>
    <w:rsid w:val="0008023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1">
    <w:name w:val="Tabla con cuadrícula2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08023A"/>
  </w:style>
  <w:style w:type="table" w:customStyle="1" w:styleId="Tablaconcuadrcula511">
    <w:name w:val="Tabla con cuadrícula51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08023A"/>
  </w:style>
  <w:style w:type="numbering" w:customStyle="1" w:styleId="Sinlista41">
    <w:name w:val="Sin lista41"/>
    <w:next w:val="Sinlista"/>
    <w:uiPriority w:val="99"/>
    <w:semiHidden/>
    <w:unhideWhenUsed/>
    <w:rsid w:val="0008023A"/>
  </w:style>
  <w:style w:type="table" w:customStyle="1" w:styleId="Tablaconcuadrcula531">
    <w:name w:val="Tabla con cuadrícula53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8023A"/>
    <w:pPr>
      <w:jc w:val="both"/>
    </w:pPr>
    <w:rPr>
      <w:rFonts w:ascii="Calibri" w:hAnsi="Calibri"/>
      <w:sz w:val="22"/>
      <w:szCs w:val="22"/>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08023A"/>
    <w:rPr>
      <w:rFonts w:ascii="Calibri" w:eastAsia="Calibri" w:hAnsi="Calibri"/>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08023A"/>
    <w:pPr>
      <w:spacing w:before="100" w:beforeAutospacing="1" w:after="100" w:afterAutospacing="1"/>
    </w:pPr>
    <w:rPr>
      <w:lang w:val="es-MX" w:eastAsia="es-MX"/>
    </w:rPr>
  </w:style>
  <w:style w:type="table" w:customStyle="1" w:styleId="Tablaconcuadrcula42">
    <w:name w:val="Tabla con cuadrícula42"/>
    <w:basedOn w:val="Tablanormal"/>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59"/>
    <w:rsid w:val="000802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uiPriority w:val="10"/>
    <w:rsid w:val="0008023A"/>
    <w:rPr>
      <w:rFonts w:ascii="Cambria" w:eastAsia="Times New Roman" w:hAnsi="Cambria" w:cs="Times New Roman"/>
      <w:color w:val="17365D"/>
      <w:spacing w:val="5"/>
      <w:kern w:val="28"/>
      <w:sz w:val="52"/>
      <w:szCs w:val="52"/>
    </w:rPr>
  </w:style>
  <w:style w:type="character" w:customStyle="1" w:styleId="PuestoCar1">
    <w:name w:val="Puesto Car1"/>
    <w:uiPriority w:val="10"/>
    <w:rsid w:val="0008023A"/>
    <w:rPr>
      <w:rFonts w:ascii="Cambria" w:eastAsia="Times New Roman" w:hAnsi="Cambria" w:cs="Times New Roman"/>
      <w:spacing w:val="-10"/>
      <w:kern w:val="28"/>
      <w:sz w:val="56"/>
      <w:szCs w:val="56"/>
    </w:rPr>
  </w:style>
  <w:style w:type="table" w:customStyle="1" w:styleId="Tablaconcuadrcula13">
    <w:name w:val="Tabla con cuadrícula13"/>
    <w:basedOn w:val="Tablanormal"/>
    <w:next w:val="Tablaconcuadrcula"/>
    <w:uiPriority w:val="39"/>
    <w:rsid w:val="000802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0802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2detindependienteCar1">
    <w:name w:val="Sangría 2 de t. independiente Car1"/>
    <w:basedOn w:val="Fuentedeprrafopredeter"/>
    <w:uiPriority w:val="99"/>
    <w:semiHidden/>
    <w:rsid w:val="0008023A"/>
  </w:style>
  <w:style w:type="paragraph" w:styleId="Ttulo">
    <w:name w:val="Title"/>
    <w:basedOn w:val="Normal"/>
    <w:next w:val="Normal"/>
    <w:link w:val="TtuloCar2"/>
    <w:uiPriority w:val="99"/>
    <w:qFormat/>
    <w:rsid w:val="0008023A"/>
    <w:pPr>
      <w:contextualSpacing/>
    </w:pPr>
    <w:rPr>
      <w:rFonts w:ascii="Cambria" w:hAnsi="Cambria"/>
      <w:color w:val="17365D"/>
      <w:spacing w:val="5"/>
      <w:kern w:val="28"/>
      <w:sz w:val="52"/>
      <w:szCs w:val="52"/>
    </w:rPr>
  </w:style>
  <w:style w:type="character" w:customStyle="1" w:styleId="TtuloCar1">
    <w:name w:val="Título Car1"/>
    <w:basedOn w:val="Fuentedeprrafopredeter"/>
    <w:uiPriority w:val="10"/>
    <w:rsid w:val="0008023A"/>
    <w:rPr>
      <w:rFonts w:asciiTheme="majorHAnsi" w:eastAsiaTheme="majorEastAsia" w:hAnsiTheme="majorHAnsi" w:cstheme="majorBidi"/>
      <w:spacing w:val="-10"/>
      <w:kern w:val="28"/>
      <w:sz w:val="56"/>
      <w:szCs w:val="56"/>
      <w:lang w:val="es-ES" w:eastAsia="es-ES"/>
    </w:rPr>
  </w:style>
  <w:style w:type="table" w:customStyle="1" w:styleId="TableNormal">
    <w:name w:val="Table Normal"/>
    <w:uiPriority w:val="2"/>
    <w:semiHidden/>
    <w:unhideWhenUsed/>
    <w:qFormat/>
    <w:rsid w:val="0008023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8023A"/>
    <w:pPr>
      <w:widowControl w:val="0"/>
      <w:autoSpaceDE w:val="0"/>
      <w:autoSpaceDN w:val="0"/>
    </w:pPr>
    <w:rPr>
      <w:sz w:val="22"/>
      <w:szCs w:val="22"/>
      <w:lang w:val="es-MX" w:eastAsia="en-US"/>
    </w:rPr>
  </w:style>
  <w:style w:type="character" w:customStyle="1" w:styleId="PuestoCar2">
    <w:name w:val="Puesto Car2"/>
    <w:basedOn w:val="Fuentedeprrafopredeter"/>
    <w:uiPriority w:val="10"/>
    <w:rsid w:val="009C37B3"/>
    <w:rPr>
      <w:rFonts w:asciiTheme="majorHAnsi" w:eastAsiaTheme="majorEastAsia" w:hAnsiTheme="majorHAnsi" w:cstheme="majorBidi" w:hint="default"/>
      <w:spacing w:val="-10"/>
      <w:kern w:val="28"/>
      <w:sz w:val="56"/>
      <w:szCs w:val="56"/>
      <w:lang w:val="es-ES" w:eastAsia="es-ES"/>
    </w:rPr>
  </w:style>
  <w:style w:type="paragraph" w:customStyle="1" w:styleId="msonormal0">
    <w:name w:val="msonormal"/>
    <w:basedOn w:val="Normal"/>
    <w:rsid w:val="00CE2445"/>
    <w:pPr>
      <w:spacing w:before="100" w:beforeAutospacing="1" w:after="100" w:afterAutospacing="1"/>
    </w:pPr>
    <w:rPr>
      <w:lang w:val="es-MX"/>
    </w:rPr>
  </w:style>
  <w:style w:type="character" w:customStyle="1" w:styleId="Mencinsinresolver1">
    <w:name w:val="Mención sin resolver1"/>
    <w:basedOn w:val="Fuentedeprrafopredeter"/>
    <w:uiPriority w:val="99"/>
    <w:semiHidden/>
    <w:unhideWhenUsed/>
    <w:rsid w:val="00CE2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4658">
      <w:bodyDiv w:val="1"/>
      <w:marLeft w:val="0"/>
      <w:marRight w:val="0"/>
      <w:marTop w:val="0"/>
      <w:marBottom w:val="0"/>
      <w:divBdr>
        <w:top w:val="none" w:sz="0" w:space="0" w:color="auto"/>
        <w:left w:val="none" w:sz="0" w:space="0" w:color="auto"/>
        <w:bottom w:val="none" w:sz="0" w:space="0" w:color="auto"/>
        <w:right w:val="none" w:sz="0" w:space="0" w:color="auto"/>
      </w:divBdr>
    </w:div>
    <w:div w:id="12192320">
      <w:bodyDiv w:val="1"/>
      <w:marLeft w:val="0"/>
      <w:marRight w:val="0"/>
      <w:marTop w:val="0"/>
      <w:marBottom w:val="0"/>
      <w:divBdr>
        <w:top w:val="none" w:sz="0" w:space="0" w:color="auto"/>
        <w:left w:val="none" w:sz="0" w:space="0" w:color="auto"/>
        <w:bottom w:val="none" w:sz="0" w:space="0" w:color="auto"/>
        <w:right w:val="none" w:sz="0" w:space="0" w:color="auto"/>
      </w:divBdr>
    </w:div>
    <w:div w:id="16198209">
      <w:bodyDiv w:val="1"/>
      <w:marLeft w:val="0"/>
      <w:marRight w:val="0"/>
      <w:marTop w:val="0"/>
      <w:marBottom w:val="0"/>
      <w:divBdr>
        <w:top w:val="none" w:sz="0" w:space="0" w:color="auto"/>
        <w:left w:val="none" w:sz="0" w:space="0" w:color="auto"/>
        <w:bottom w:val="none" w:sz="0" w:space="0" w:color="auto"/>
        <w:right w:val="none" w:sz="0" w:space="0" w:color="auto"/>
      </w:divBdr>
      <w:divsChild>
        <w:div w:id="489756299">
          <w:marLeft w:val="0"/>
          <w:marRight w:val="0"/>
          <w:marTop w:val="0"/>
          <w:marBottom w:val="0"/>
          <w:divBdr>
            <w:top w:val="none" w:sz="0" w:space="0" w:color="auto"/>
            <w:left w:val="none" w:sz="0" w:space="0" w:color="auto"/>
            <w:bottom w:val="none" w:sz="0" w:space="0" w:color="auto"/>
            <w:right w:val="none" w:sz="0" w:space="0" w:color="auto"/>
          </w:divBdr>
        </w:div>
        <w:div w:id="632172948">
          <w:marLeft w:val="0"/>
          <w:marRight w:val="0"/>
          <w:marTop w:val="0"/>
          <w:marBottom w:val="0"/>
          <w:divBdr>
            <w:top w:val="none" w:sz="0" w:space="0" w:color="auto"/>
            <w:left w:val="none" w:sz="0" w:space="0" w:color="auto"/>
            <w:bottom w:val="none" w:sz="0" w:space="0" w:color="auto"/>
            <w:right w:val="none" w:sz="0" w:space="0" w:color="auto"/>
          </w:divBdr>
        </w:div>
        <w:div w:id="698776159">
          <w:marLeft w:val="0"/>
          <w:marRight w:val="0"/>
          <w:marTop w:val="0"/>
          <w:marBottom w:val="0"/>
          <w:divBdr>
            <w:top w:val="none" w:sz="0" w:space="0" w:color="auto"/>
            <w:left w:val="none" w:sz="0" w:space="0" w:color="auto"/>
            <w:bottom w:val="none" w:sz="0" w:space="0" w:color="auto"/>
            <w:right w:val="none" w:sz="0" w:space="0" w:color="auto"/>
          </w:divBdr>
        </w:div>
        <w:div w:id="1011225830">
          <w:marLeft w:val="0"/>
          <w:marRight w:val="0"/>
          <w:marTop w:val="0"/>
          <w:marBottom w:val="0"/>
          <w:divBdr>
            <w:top w:val="none" w:sz="0" w:space="0" w:color="auto"/>
            <w:left w:val="none" w:sz="0" w:space="0" w:color="auto"/>
            <w:bottom w:val="none" w:sz="0" w:space="0" w:color="auto"/>
            <w:right w:val="none" w:sz="0" w:space="0" w:color="auto"/>
          </w:divBdr>
        </w:div>
        <w:div w:id="1028143673">
          <w:marLeft w:val="0"/>
          <w:marRight w:val="0"/>
          <w:marTop w:val="0"/>
          <w:marBottom w:val="0"/>
          <w:divBdr>
            <w:top w:val="none" w:sz="0" w:space="0" w:color="auto"/>
            <w:left w:val="none" w:sz="0" w:space="0" w:color="auto"/>
            <w:bottom w:val="none" w:sz="0" w:space="0" w:color="auto"/>
            <w:right w:val="none" w:sz="0" w:space="0" w:color="auto"/>
          </w:divBdr>
        </w:div>
        <w:div w:id="1077023111">
          <w:marLeft w:val="0"/>
          <w:marRight w:val="0"/>
          <w:marTop w:val="0"/>
          <w:marBottom w:val="0"/>
          <w:divBdr>
            <w:top w:val="none" w:sz="0" w:space="0" w:color="auto"/>
            <w:left w:val="none" w:sz="0" w:space="0" w:color="auto"/>
            <w:bottom w:val="none" w:sz="0" w:space="0" w:color="auto"/>
            <w:right w:val="none" w:sz="0" w:space="0" w:color="auto"/>
          </w:divBdr>
        </w:div>
        <w:div w:id="1309361602">
          <w:marLeft w:val="0"/>
          <w:marRight w:val="0"/>
          <w:marTop w:val="0"/>
          <w:marBottom w:val="0"/>
          <w:divBdr>
            <w:top w:val="none" w:sz="0" w:space="0" w:color="auto"/>
            <w:left w:val="none" w:sz="0" w:space="0" w:color="auto"/>
            <w:bottom w:val="none" w:sz="0" w:space="0" w:color="auto"/>
            <w:right w:val="none" w:sz="0" w:space="0" w:color="auto"/>
          </w:divBdr>
        </w:div>
        <w:div w:id="1379356091">
          <w:marLeft w:val="0"/>
          <w:marRight w:val="0"/>
          <w:marTop w:val="0"/>
          <w:marBottom w:val="0"/>
          <w:divBdr>
            <w:top w:val="none" w:sz="0" w:space="0" w:color="auto"/>
            <w:left w:val="none" w:sz="0" w:space="0" w:color="auto"/>
            <w:bottom w:val="none" w:sz="0" w:space="0" w:color="auto"/>
            <w:right w:val="none" w:sz="0" w:space="0" w:color="auto"/>
          </w:divBdr>
        </w:div>
        <w:div w:id="1402630343">
          <w:marLeft w:val="0"/>
          <w:marRight w:val="0"/>
          <w:marTop w:val="0"/>
          <w:marBottom w:val="0"/>
          <w:divBdr>
            <w:top w:val="none" w:sz="0" w:space="0" w:color="auto"/>
            <w:left w:val="none" w:sz="0" w:space="0" w:color="auto"/>
            <w:bottom w:val="none" w:sz="0" w:space="0" w:color="auto"/>
            <w:right w:val="none" w:sz="0" w:space="0" w:color="auto"/>
          </w:divBdr>
        </w:div>
        <w:div w:id="1426488813">
          <w:marLeft w:val="0"/>
          <w:marRight w:val="0"/>
          <w:marTop w:val="0"/>
          <w:marBottom w:val="0"/>
          <w:divBdr>
            <w:top w:val="none" w:sz="0" w:space="0" w:color="auto"/>
            <w:left w:val="none" w:sz="0" w:space="0" w:color="auto"/>
            <w:bottom w:val="none" w:sz="0" w:space="0" w:color="auto"/>
            <w:right w:val="none" w:sz="0" w:space="0" w:color="auto"/>
          </w:divBdr>
        </w:div>
        <w:div w:id="1444376446">
          <w:marLeft w:val="0"/>
          <w:marRight w:val="0"/>
          <w:marTop w:val="0"/>
          <w:marBottom w:val="0"/>
          <w:divBdr>
            <w:top w:val="none" w:sz="0" w:space="0" w:color="auto"/>
            <w:left w:val="none" w:sz="0" w:space="0" w:color="auto"/>
            <w:bottom w:val="none" w:sz="0" w:space="0" w:color="auto"/>
            <w:right w:val="none" w:sz="0" w:space="0" w:color="auto"/>
          </w:divBdr>
        </w:div>
        <w:div w:id="1742213218">
          <w:marLeft w:val="0"/>
          <w:marRight w:val="0"/>
          <w:marTop w:val="0"/>
          <w:marBottom w:val="0"/>
          <w:divBdr>
            <w:top w:val="none" w:sz="0" w:space="0" w:color="auto"/>
            <w:left w:val="none" w:sz="0" w:space="0" w:color="auto"/>
            <w:bottom w:val="none" w:sz="0" w:space="0" w:color="auto"/>
            <w:right w:val="none" w:sz="0" w:space="0" w:color="auto"/>
          </w:divBdr>
        </w:div>
        <w:div w:id="1751733133">
          <w:marLeft w:val="0"/>
          <w:marRight w:val="0"/>
          <w:marTop w:val="0"/>
          <w:marBottom w:val="0"/>
          <w:divBdr>
            <w:top w:val="none" w:sz="0" w:space="0" w:color="auto"/>
            <w:left w:val="none" w:sz="0" w:space="0" w:color="auto"/>
            <w:bottom w:val="none" w:sz="0" w:space="0" w:color="auto"/>
            <w:right w:val="none" w:sz="0" w:space="0" w:color="auto"/>
          </w:divBdr>
        </w:div>
        <w:div w:id="2091077186">
          <w:marLeft w:val="0"/>
          <w:marRight w:val="0"/>
          <w:marTop w:val="0"/>
          <w:marBottom w:val="0"/>
          <w:divBdr>
            <w:top w:val="none" w:sz="0" w:space="0" w:color="auto"/>
            <w:left w:val="none" w:sz="0" w:space="0" w:color="auto"/>
            <w:bottom w:val="none" w:sz="0" w:space="0" w:color="auto"/>
            <w:right w:val="none" w:sz="0" w:space="0" w:color="auto"/>
          </w:divBdr>
        </w:div>
        <w:div w:id="2120757088">
          <w:marLeft w:val="0"/>
          <w:marRight w:val="0"/>
          <w:marTop w:val="0"/>
          <w:marBottom w:val="0"/>
          <w:divBdr>
            <w:top w:val="none" w:sz="0" w:space="0" w:color="auto"/>
            <w:left w:val="none" w:sz="0" w:space="0" w:color="auto"/>
            <w:bottom w:val="none" w:sz="0" w:space="0" w:color="auto"/>
            <w:right w:val="none" w:sz="0" w:space="0" w:color="auto"/>
          </w:divBdr>
        </w:div>
      </w:divsChild>
    </w:div>
    <w:div w:id="17706385">
      <w:bodyDiv w:val="1"/>
      <w:marLeft w:val="0"/>
      <w:marRight w:val="0"/>
      <w:marTop w:val="0"/>
      <w:marBottom w:val="0"/>
      <w:divBdr>
        <w:top w:val="none" w:sz="0" w:space="0" w:color="auto"/>
        <w:left w:val="none" w:sz="0" w:space="0" w:color="auto"/>
        <w:bottom w:val="none" w:sz="0" w:space="0" w:color="auto"/>
        <w:right w:val="none" w:sz="0" w:space="0" w:color="auto"/>
      </w:divBdr>
      <w:divsChild>
        <w:div w:id="451241714">
          <w:marLeft w:val="0"/>
          <w:marRight w:val="0"/>
          <w:marTop w:val="0"/>
          <w:marBottom w:val="0"/>
          <w:divBdr>
            <w:top w:val="none" w:sz="0" w:space="0" w:color="auto"/>
            <w:left w:val="none" w:sz="0" w:space="0" w:color="auto"/>
            <w:bottom w:val="none" w:sz="0" w:space="0" w:color="auto"/>
            <w:right w:val="none" w:sz="0" w:space="0" w:color="auto"/>
          </w:divBdr>
        </w:div>
        <w:div w:id="1144614810">
          <w:marLeft w:val="0"/>
          <w:marRight w:val="0"/>
          <w:marTop w:val="0"/>
          <w:marBottom w:val="0"/>
          <w:divBdr>
            <w:top w:val="none" w:sz="0" w:space="0" w:color="auto"/>
            <w:left w:val="none" w:sz="0" w:space="0" w:color="auto"/>
            <w:bottom w:val="none" w:sz="0" w:space="0" w:color="auto"/>
            <w:right w:val="none" w:sz="0" w:space="0" w:color="auto"/>
          </w:divBdr>
        </w:div>
        <w:div w:id="1733310177">
          <w:marLeft w:val="0"/>
          <w:marRight w:val="0"/>
          <w:marTop w:val="0"/>
          <w:marBottom w:val="0"/>
          <w:divBdr>
            <w:top w:val="none" w:sz="0" w:space="0" w:color="auto"/>
            <w:left w:val="none" w:sz="0" w:space="0" w:color="auto"/>
            <w:bottom w:val="none" w:sz="0" w:space="0" w:color="auto"/>
            <w:right w:val="none" w:sz="0" w:space="0" w:color="auto"/>
          </w:divBdr>
        </w:div>
      </w:divsChild>
    </w:div>
    <w:div w:id="66852626">
      <w:bodyDiv w:val="1"/>
      <w:marLeft w:val="0"/>
      <w:marRight w:val="0"/>
      <w:marTop w:val="0"/>
      <w:marBottom w:val="0"/>
      <w:divBdr>
        <w:top w:val="none" w:sz="0" w:space="0" w:color="auto"/>
        <w:left w:val="none" w:sz="0" w:space="0" w:color="auto"/>
        <w:bottom w:val="none" w:sz="0" w:space="0" w:color="auto"/>
        <w:right w:val="none" w:sz="0" w:space="0" w:color="auto"/>
      </w:divBdr>
    </w:div>
    <w:div w:id="71894091">
      <w:bodyDiv w:val="1"/>
      <w:marLeft w:val="0"/>
      <w:marRight w:val="0"/>
      <w:marTop w:val="0"/>
      <w:marBottom w:val="0"/>
      <w:divBdr>
        <w:top w:val="none" w:sz="0" w:space="0" w:color="auto"/>
        <w:left w:val="none" w:sz="0" w:space="0" w:color="auto"/>
        <w:bottom w:val="none" w:sz="0" w:space="0" w:color="auto"/>
        <w:right w:val="none" w:sz="0" w:space="0" w:color="auto"/>
      </w:divBdr>
      <w:divsChild>
        <w:div w:id="32925512">
          <w:marLeft w:val="0"/>
          <w:marRight w:val="0"/>
          <w:marTop w:val="0"/>
          <w:marBottom w:val="0"/>
          <w:divBdr>
            <w:top w:val="none" w:sz="0" w:space="0" w:color="auto"/>
            <w:left w:val="none" w:sz="0" w:space="0" w:color="auto"/>
            <w:bottom w:val="none" w:sz="0" w:space="0" w:color="auto"/>
            <w:right w:val="none" w:sz="0" w:space="0" w:color="auto"/>
          </w:divBdr>
        </w:div>
        <w:div w:id="92478448">
          <w:marLeft w:val="0"/>
          <w:marRight w:val="0"/>
          <w:marTop w:val="0"/>
          <w:marBottom w:val="0"/>
          <w:divBdr>
            <w:top w:val="none" w:sz="0" w:space="0" w:color="auto"/>
            <w:left w:val="none" w:sz="0" w:space="0" w:color="auto"/>
            <w:bottom w:val="none" w:sz="0" w:space="0" w:color="auto"/>
            <w:right w:val="none" w:sz="0" w:space="0" w:color="auto"/>
          </w:divBdr>
        </w:div>
        <w:div w:id="178391196">
          <w:marLeft w:val="0"/>
          <w:marRight w:val="0"/>
          <w:marTop w:val="0"/>
          <w:marBottom w:val="0"/>
          <w:divBdr>
            <w:top w:val="none" w:sz="0" w:space="0" w:color="auto"/>
            <w:left w:val="none" w:sz="0" w:space="0" w:color="auto"/>
            <w:bottom w:val="none" w:sz="0" w:space="0" w:color="auto"/>
            <w:right w:val="none" w:sz="0" w:space="0" w:color="auto"/>
          </w:divBdr>
        </w:div>
        <w:div w:id="196889228">
          <w:marLeft w:val="0"/>
          <w:marRight w:val="0"/>
          <w:marTop w:val="0"/>
          <w:marBottom w:val="0"/>
          <w:divBdr>
            <w:top w:val="none" w:sz="0" w:space="0" w:color="auto"/>
            <w:left w:val="none" w:sz="0" w:space="0" w:color="auto"/>
            <w:bottom w:val="none" w:sz="0" w:space="0" w:color="auto"/>
            <w:right w:val="none" w:sz="0" w:space="0" w:color="auto"/>
          </w:divBdr>
        </w:div>
        <w:div w:id="264769050">
          <w:marLeft w:val="0"/>
          <w:marRight w:val="0"/>
          <w:marTop w:val="0"/>
          <w:marBottom w:val="0"/>
          <w:divBdr>
            <w:top w:val="none" w:sz="0" w:space="0" w:color="auto"/>
            <w:left w:val="none" w:sz="0" w:space="0" w:color="auto"/>
            <w:bottom w:val="none" w:sz="0" w:space="0" w:color="auto"/>
            <w:right w:val="none" w:sz="0" w:space="0" w:color="auto"/>
          </w:divBdr>
        </w:div>
        <w:div w:id="350958788">
          <w:marLeft w:val="0"/>
          <w:marRight w:val="0"/>
          <w:marTop w:val="0"/>
          <w:marBottom w:val="0"/>
          <w:divBdr>
            <w:top w:val="none" w:sz="0" w:space="0" w:color="auto"/>
            <w:left w:val="none" w:sz="0" w:space="0" w:color="auto"/>
            <w:bottom w:val="none" w:sz="0" w:space="0" w:color="auto"/>
            <w:right w:val="none" w:sz="0" w:space="0" w:color="auto"/>
          </w:divBdr>
        </w:div>
        <w:div w:id="410156415">
          <w:marLeft w:val="0"/>
          <w:marRight w:val="0"/>
          <w:marTop w:val="0"/>
          <w:marBottom w:val="0"/>
          <w:divBdr>
            <w:top w:val="none" w:sz="0" w:space="0" w:color="auto"/>
            <w:left w:val="none" w:sz="0" w:space="0" w:color="auto"/>
            <w:bottom w:val="none" w:sz="0" w:space="0" w:color="auto"/>
            <w:right w:val="none" w:sz="0" w:space="0" w:color="auto"/>
          </w:divBdr>
        </w:div>
        <w:div w:id="431319286">
          <w:marLeft w:val="0"/>
          <w:marRight w:val="0"/>
          <w:marTop w:val="0"/>
          <w:marBottom w:val="0"/>
          <w:divBdr>
            <w:top w:val="none" w:sz="0" w:space="0" w:color="auto"/>
            <w:left w:val="none" w:sz="0" w:space="0" w:color="auto"/>
            <w:bottom w:val="none" w:sz="0" w:space="0" w:color="auto"/>
            <w:right w:val="none" w:sz="0" w:space="0" w:color="auto"/>
          </w:divBdr>
        </w:div>
        <w:div w:id="487788995">
          <w:marLeft w:val="0"/>
          <w:marRight w:val="0"/>
          <w:marTop w:val="0"/>
          <w:marBottom w:val="0"/>
          <w:divBdr>
            <w:top w:val="none" w:sz="0" w:space="0" w:color="auto"/>
            <w:left w:val="none" w:sz="0" w:space="0" w:color="auto"/>
            <w:bottom w:val="none" w:sz="0" w:space="0" w:color="auto"/>
            <w:right w:val="none" w:sz="0" w:space="0" w:color="auto"/>
          </w:divBdr>
        </w:div>
        <w:div w:id="494414460">
          <w:marLeft w:val="0"/>
          <w:marRight w:val="0"/>
          <w:marTop w:val="0"/>
          <w:marBottom w:val="0"/>
          <w:divBdr>
            <w:top w:val="none" w:sz="0" w:space="0" w:color="auto"/>
            <w:left w:val="none" w:sz="0" w:space="0" w:color="auto"/>
            <w:bottom w:val="none" w:sz="0" w:space="0" w:color="auto"/>
            <w:right w:val="none" w:sz="0" w:space="0" w:color="auto"/>
          </w:divBdr>
        </w:div>
        <w:div w:id="510267519">
          <w:marLeft w:val="0"/>
          <w:marRight w:val="0"/>
          <w:marTop w:val="0"/>
          <w:marBottom w:val="0"/>
          <w:divBdr>
            <w:top w:val="none" w:sz="0" w:space="0" w:color="auto"/>
            <w:left w:val="none" w:sz="0" w:space="0" w:color="auto"/>
            <w:bottom w:val="none" w:sz="0" w:space="0" w:color="auto"/>
            <w:right w:val="none" w:sz="0" w:space="0" w:color="auto"/>
          </w:divBdr>
        </w:div>
        <w:div w:id="514004801">
          <w:marLeft w:val="0"/>
          <w:marRight w:val="0"/>
          <w:marTop w:val="0"/>
          <w:marBottom w:val="0"/>
          <w:divBdr>
            <w:top w:val="none" w:sz="0" w:space="0" w:color="auto"/>
            <w:left w:val="none" w:sz="0" w:space="0" w:color="auto"/>
            <w:bottom w:val="none" w:sz="0" w:space="0" w:color="auto"/>
            <w:right w:val="none" w:sz="0" w:space="0" w:color="auto"/>
          </w:divBdr>
        </w:div>
        <w:div w:id="526214768">
          <w:marLeft w:val="0"/>
          <w:marRight w:val="0"/>
          <w:marTop w:val="0"/>
          <w:marBottom w:val="0"/>
          <w:divBdr>
            <w:top w:val="none" w:sz="0" w:space="0" w:color="auto"/>
            <w:left w:val="none" w:sz="0" w:space="0" w:color="auto"/>
            <w:bottom w:val="none" w:sz="0" w:space="0" w:color="auto"/>
            <w:right w:val="none" w:sz="0" w:space="0" w:color="auto"/>
          </w:divBdr>
        </w:div>
        <w:div w:id="618755729">
          <w:marLeft w:val="0"/>
          <w:marRight w:val="0"/>
          <w:marTop w:val="0"/>
          <w:marBottom w:val="0"/>
          <w:divBdr>
            <w:top w:val="none" w:sz="0" w:space="0" w:color="auto"/>
            <w:left w:val="none" w:sz="0" w:space="0" w:color="auto"/>
            <w:bottom w:val="none" w:sz="0" w:space="0" w:color="auto"/>
            <w:right w:val="none" w:sz="0" w:space="0" w:color="auto"/>
          </w:divBdr>
        </w:div>
        <w:div w:id="650990215">
          <w:marLeft w:val="0"/>
          <w:marRight w:val="0"/>
          <w:marTop w:val="0"/>
          <w:marBottom w:val="0"/>
          <w:divBdr>
            <w:top w:val="none" w:sz="0" w:space="0" w:color="auto"/>
            <w:left w:val="none" w:sz="0" w:space="0" w:color="auto"/>
            <w:bottom w:val="none" w:sz="0" w:space="0" w:color="auto"/>
            <w:right w:val="none" w:sz="0" w:space="0" w:color="auto"/>
          </w:divBdr>
        </w:div>
        <w:div w:id="675763125">
          <w:marLeft w:val="0"/>
          <w:marRight w:val="0"/>
          <w:marTop w:val="0"/>
          <w:marBottom w:val="0"/>
          <w:divBdr>
            <w:top w:val="none" w:sz="0" w:space="0" w:color="auto"/>
            <w:left w:val="none" w:sz="0" w:space="0" w:color="auto"/>
            <w:bottom w:val="none" w:sz="0" w:space="0" w:color="auto"/>
            <w:right w:val="none" w:sz="0" w:space="0" w:color="auto"/>
          </w:divBdr>
        </w:div>
        <w:div w:id="696470248">
          <w:marLeft w:val="0"/>
          <w:marRight w:val="0"/>
          <w:marTop w:val="0"/>
          <w:marBottom w:val="0"/>
          <w:divBdr>
            <w:top w:val="none" w:sz="0" w:space="0" w:color="auto"/>
            <w:left w:val="none" w:sz="0" w:space="0" w:color="auto"/>
            <w:bottom w:val="none" w:sz="0" w:space="0" w:color="auto"/>
            <w:right w:val="none" w:sz="0" w:space="0" w:color="auto"/>
          </w:divBdr>
        </w:div>
        <w:div w:id="799227182">
          <w:marLeft w:val="0"/>
          <w:marRight w:val="0"/>
          <w:marTop w:val="0"/>
          <w:marBottom w:val="0"/>
          <w:divBdr>
            <w:top w:val="none" w:sz="0" w:space="0" w:color="auto"/>
            <w:left w:val="none" w:sz="0" w:space="0" w:color="auto"/>
            <w:bottom w:val="none" w:sz="0" w:space="0" w:color="auto"/>
            <w:right w:val="none" w:sz="0" w:space="0" w:color="auto"/>
          </w:divBdr>
        </w:div>
        <w:div w:id="850333985">
          <w:marLeft w:val="0"/>
          <w:marRight w:val="0"/>
          <w:marTop w:val="0"/>
          <w:marBottom w:val="0"/>
          <w:divBdr>
            <w:top w:val="none" w:sz="0" w:space="0" w:color="auto"/>
            <w:left w:val="none" w:sz="0" w:space="0" w:color="auto"/>
            <w:bottom w:val="none" w:sz="0" w:space="0" w:color="auto"/>
            <w:right w:val="none" w:sz="0" w:space="0" w:color="auto"/>
          </w:divBdr>
        </w:div>
        <w:div w:id="878593116">
          <w:marLeft w:val="0"/>
          <w:marRight w:val="0"/>
          <w:marTop w:val="0"/>
          <w:marBottom w:val="0"/>
          <w:divBdr>
            <w:top w:val="none" w:sz="0" w:space="0" w:color="auto"/>
            <w:left w:val="none" w:sz="0" w:space="0" w:color="auto"/>
            <w:bottom w:val="none" w:sz="0" w:space="0" w:color="auto"/>
            <w:right w:val="none" w:sz="0" w:space="0" w:color="auto"/>
          </w:divBdr>
        </w:div>
        <w:div w:id="929701003">
          <w:marLeft w:val="0"/>
          <w:marRight w:val="0"/>
          <w:marTop w:val="0"/>
          <w:marBottom w:val="0"/>
          <w:divBdr>
            <w:top w:val="none" w:sz="0" w:space="0" w:color="auto"/>
            <w:left w:val="none" w:sz="0" w:space="0" w:color="auto"/>
            <w:bottom w:val="none" w:sz="0" w:space="0" w:color="auto"/>
            <w:right w:val="none" w:sz="0" w:space="0" w:color="auto"/>
          </w:divBdr>
        </w:div>
        <w:div w:id="960456817">
          <w:marLeft w:val="0"/>
          <w:marRight w:val="0"/>
          <w:marTop w:val="0"/>
          <w:marBottom w:val="0"/>
          <w:divBdr>
            <w:top w:val="none" w:sz="0" w:space="0" w:color="auto"/>
            <w:left w:val="none" w:sz="0" w:space="0" w:color="auto"/>
            <w:bottom w:val="none" w:sz="0" w:space="0" w:color="auto"/>
            <w:right w:val="none" w:sz="0" w:space="0" w:color="auto"/>
          </w:divBdr>
        </w:div>
        <w:div w:id="981928862">
          <w:marLeft w:val="0"/>
          <w:marRight w:val="0"/>
          <w:marTop w:val="0"/>
          <w:marBottom w:val="0"/>
          <w:divBdr>
            <w:top w:val="none" w:sz="0" w:space="0" w:color="auto"/>
            <w:left w:val="none" w:sz="0" w:space="0" w:color="auto"/>
            <w:bottom w:val="none" w:sz="0" w:space="0" w:color="auto"/>
            <w:right w:val="none" w:sz="0" w:space="0" w:color="auto"/>
          </w:divBdr>
        </w:div>
        <w:div w:id="1010525561">
          <w:marLeft w:val="0"/>
          <w:marRight w:val="0"/>
          <w:marTop w:val="0"/>
          <w:marBottom w:val="0"/>
          <w:divBdr>
            <w:top w:val="none" w:sz="0" w:space="0" w:color="auto"/>
            <w:left w:val="none" w:sz="0" w:space="0" w:color="auto"/>
            <w:bottom w:val="none" w:sz="0" w:space="0" w:color="auto"/>
            <w:right w:val="none" w:sz="0" w:space="0" w:color="auto"/>
          </w:divBdr>
        </w:div>
        <w:div w:id="1047606329">
          <w:marLeft w:val="0"/>
          <w:marRight w:val="0"/>
          <w:marTop w:val="0"/>
          <w:marBottom w:val="0"/>
          <w:divBdr>
            <w:top w:val="none" w:sz="0" w:space="0" w:color="auto"/>
            <w:left w:val="none" w:sz="0" w:space="0" w:color="auto"/>
            <w:bottom w:val="none" w:sz="0" w:space="0" w:color="auto"/>
            <w:right w:val="none" w:sz="0" w:space="0" w:color="auto"/>
          </w:divBdr>
        </w:div>
        <w:div w:id="1066493241">
          <w:marLeft w:val="0"/>
          <w:marRight w:val="0"/>
          <w:marTop w:val="0"/>
          <w:marBottom w:val="0"/>
          <w:divBdr>
            <w:top w:val="none" w:sz="0" w:space="0" w:color="auto"/>
            <w:left w:val="none" w:sz="0" w:space="0" w:color="auto"/>
            <w:bottom w:val="none" w:sz="0" w:space="0" w:color="auto"/>
            <w:right w:val="none" w:sz="0" w:space="0" w:color="auto"/>
          </w:divBdr>
        </w:div>
        <w:div w:id="1112092152">
          <w:marLeft w:val="0"/>
          <w:marRight w:val="0"/>
          <w:marTop w:val="0"/>
          <w:marBottom w:val="0"/>
          <w:divBdr>
            <w:top w:val="none" w:sz="0" w:space="0" w:color="auto"/>
            <w:left w:val="none" w:sz="0" w:space="0" w:color="auto"/>
            <w:bottom w:val="none" w:sz="0" w:space="0" w:color="auto"/>
            <w:right w:val="none" w:sz="0" w:space="0" w:color="auto"/>
          </w:divBdr>
        </w:div>
        <w:div w:id="1136335712">
          <w:marLeft w:val="0"/>
          <w:marRight w:val="0"/>
          <w:marTop w:val="0"/>
          <w:marBottom w:val="0"/>
          <w:divBdr>
            <w:top w:val="none" w:sz="0" w:space="0" w:color="auto"/>
            <w:left w:val="none" w:sz="0" w:space="0" w:color="auto"/>
            <w:bottom w:val="none" w:sz="0" w:space="0" w:color="auto"/>
            <w:right w:val="none" w:sz="0" w:space="0" w:color="auto"/>
          </w:divBdr>
        </w:div>
        <w:div w:id="1195387496">
          <w:marLeft w:val="0"/>
          <w:marRight w:val="0"/>
          <w:marTop w:val="0"/>
          <w:marBottom w:val="0"/>
          <w:divBdr>
            <w:top w:val="none" w:sz="0" w:space="0" w:color="auto"/>
            <w:left w:val="none" w:sz="0" w:space="0" w:color="auto"/>
            <w:bottom w:val="none" w:sz="0" w:space="0" w:color="auto"/>
            <w:right w:val="none" w:sz="0" w:space="0" w:color="auto"/>
          </w:divBdr>
        </w:div>
        <w:div w:id="1305617464">
          <w:marLeft w:val="0"/>
          <w:marRight w:val="0"/>
          <w:marTop w:val="0"/>
          <w:marBottom w:val="0"/>
          <w:divBdr>
            <w:top w:val="none" w:sz="0" w:space="0" w:color="auto"/>
            <w:left w:val="none" w:sz="0" w:space="0" w:color="auto"/>
            <w:bottom w:val="none" w:sz="0" w:space="0" w:color="auto"/>
            <w:right w:val="none" w:sz="0" w:space="0" w:color="auto"/>
          </w:divBdr>
        </w:div>
        <w:div w:id="1383990368">
          <w:marLeft w:val="0"/>
          <w:marRight w:val="0"/>
          <w:marTop w:val="0"/>
          <w:marBottom w:val="0"/>
          <w:divBdr>
            <w:top w:val="none" w:sz="0" w:space="0" w:color="auto"/>
            <w:left w:val="none" w:sz="0" w:space="0" w:color="auto"/>
            <w:bottom w:val="none" w:sz="0" w:space="0" w:color="auto"/>
            <w:right w:val="none" w:sz="0" w:space="0" w:color="auto"/>
          </w:divBdr>
        </w:div>
        <w:div w:id="1473206711">
          <w:marLeft w:val="0"/>
          <w:marRight w:val="0"/>
          <w:marTop w:val="0"/>
          <w:marBottom w:val="0"/>
          <w:divBdr>
            <w:top w:val="none" w:sz="0" w:space="0" w:color="auto"/>
            <w:left w:val="none" w:sz="0" w:space="0" w:color="auto"/>
            <w:bottom w:val="none" w:sz="0" w:space="0" w:color="auto"/>
            <w:right w:val="none" w:sz="0" w:space="0" w:color="auto"/>
          </w:divBdr>
        </w:div>
        <w:div w:id="1536235569">
          <w:marLeft w:val="0"/>
          <w:marRight w:val="0"/>
          <w:marTop w:val="0"/>
          <w:marBottom w:val="0"/>
          <w:divBdr>
            <w:top w:val="none" w:sz="0" w:space="0" w:color="auto"/>
            <w:left w:val="none" w:sz="0" w:space="0" w:color="auto"/>
            <w:bottom w:val="none" w:sz="0" w:space="0" w:color="auto"/>
            <w:right w:val="none" w:sz="0" w:space="0" w:color="auto"/>
          </w:divBdr>
        </w:div>
        <w:div w:id="1617299093">
          <w:marLeft w:val="0"/>
          <w:marRight w:val="0"/>
          <w:marTop w:val="0"/>
          <w:marBottom w:val="0"/>
          <w:divBdr>
            <w:top w:val="none" w:sz="0" w:space="0" w:color="auto"/>
            <w:left w:val="none" w:sz="0" w:space="0" w:color="auto"/>
            <w:bottom w:val="none" w:sz="0" w:space="0" w:color="auto"/>
            <w:right w:val="none" w:sz="0" w:space="0" w:color="auto"/>
          </w:divBdr>
        </w:div>
        <w:div w:id="1690911807">
          <w:marLeft w:val="0"/>
          <w:marRight w:val="0"/>
          <w:marTop w:val="0"/>
          <w:marBottom w:val="0"/>
          <w:divBdr>
            <w:top w:val="none" w:sz="0" w:space="0" w:color="auto"/>
            <w:left w:val="none" w:sz="0" w:space="0" w:color="auto"/>
            <w:bottom w:val="none" w:sz="0" w:space="0" w:color="auto"/>
            <w:right w:val="none" w:sz="0" w:space="0" w:color="auto"/>
          </w:divBdr>
        </w:div>
        <w:div w:id="1710689209">
          <w:marLeft w:val="0"/>
          <w:marRight w:val="0"/>
          <w:marTop w:val="0"/>
          <w:marBottom w:val="0"/>
          <w:divBdr>
            <w:top w:val="none" w:sz="0" w:space="0" w:color="auto"/>
            <w:left w:val="none" w:sz="0" w:space="0" w:color="auto"/>
            <w:bottom w:val="none" w:sz="0" w:space="0" w:color="auto"/>
            <w:right w:val="none" w:sz="0" w:space="0" w:color="auto"/>
          </w:divBdr>
        </w:div>
        <w:div w:id="1711832637">
          <w:marLeft w:val="0"/>
          <w:marRight w:val="0"/>
          <w:marTop w:val="0"/>
          <w:marBottom w:val="0"/>
          <w:divBdr>
            <w:top w:val="none" w:sz="0" w:space="0" w:color="auto"/>
            <w:left w:val="none" w:sz="0" w:space="0" w:color="auto"/>
            <w:bottom w:val="none" w:sz="0" w:space="0" w:color="auto"/>
            <w:right w:val="none" w:sz="0" w:space="0" w:color="auto"/>
          </w:divBdr>
        </w:div>
        <w:div w:id="1741908066">
          <w:marLeft w:val="0"/>
          <w:marRight w:val="0"/>
          <w:marTop w:val="0"/>
          <w:marBottom w:val="0"/>
          <w:divBdr>
            <w:top w:val="none" w:sz="0" w:space="0" w:color="auto"/>
            <w:left w:val="none" w:sz="0" w:space="0" w:color="auto"/>
            <w:bottom w:val="none" w:sz="0" w:space="0" w:color="auto"/>
            <w:right w:val="none" w:sz="0" w:space="0" w:color="auto"/>
          </w:divBdr>
        </w:div>
        <w:div w:id="1765608506">
          <w:marLeft w:val="0"/>
          <w:marRight w:val="0"/>
          <w:marTop w:val="0"/>
          <w:marBottom w:val="0"/>
          <w:divBdr>
            <w:top w:val="none" w:sz="0" w:space="0" w:color="auto"/>
            <w:left w:val="none" w:sz="0" w:space="0" w:color="auto"/>
            <w:bottom w:val="none" w:sz="0" w:space="0" w:color="auto"/>
            <w:right w:val="none" w:sz="0" w:space="0" w:color="auto"/>
          </w:divBdr>
        </w:div>
        <w:div w:id="1827085932">
          <w:marLeft w:val="0"/>
          <w:marRight w:val="0"/>
          <w:marTop w:val="0"/>
          <w:marBottom w:val="0"/>
          <w:divBdr>
            <w:top w:val="none" w:sz="0" w:space="0" w:color="auto"/>
            <w:left w:val="none" w:sz="0" w:space="0" w:color="auto"/>
            <w:bottom w:val="none" w:sz="0" w:space="0" w:color="auto"/>
            <w:right w:val="none" w:sz="0" w:space="0" w:color="auto"/>
          </w:divBdr>
        </w:div>
        <w:div w:id="1854108942">
          <w:marLeft w:val="0"/>
          <w:marRight w:val="0"/>
          <w:marTop w:val="0"/>
          <w:marBottom w:val="0"/>
          <w:divBdr>
            <w:top w:val="none" w:sz="0" w:space="0" w:color="auto"/>
            <w:left w:val="none" w:sz="0" w:space="0" w:color="auto"/>
            <w:bottom w:val="none" w:sz="0" w:space="0" w:color="auto"/>
            <w:right w:val="none" w:sz="0" w:space="0" w:color="auto"/>
          </w:divBdr>
        </w:div>
        <w:div w:id="1983654012">
          <w:marLeft w:val="0"/>
          <w:marRight w:val="0"/>
          <w:marTop w:val="0"/>
          <w:marBottom w:val="0"/>
          <w:divBdr>
            <w:top w:val="none" w:sz="0" w:space="0" w:color="auto"/>
            <w:left w:val="none" w:sz="0" w:space="0" w:color="auto"/>
            <w:bottom w:val="none" w:sz="0" w:space="0" w:color="auto"/>
            <w:right w:val="none" w:sz="0" w:space="0" w:color="auto"/>
          </w:divBdr>
        </w:div>
        <w:div w:id="2065445071">
          <w:marLeft w:val="0"/>
          <w:marRight w:val="0"/>
          <w:marTop w:val="0"/>
          <w:marBottom w:val="0"/>
          <w:divBdr>
            <w:top w:val="none" w:sz="0" w:space="0" w:color="auto"/>
            <w:left w:val="none" w:sz="0" w:space="0" w:color="auto"/>
            <w:bottom w:val="none" w:sz="0" w:space="0" w:color="auto"/>
            <w:right w:val="none" w:sz="0" w:space="0" w:color="auto"/>
          </w:divBdr>
        </w:div>
      </w:divsChild>
    </w:div>
    <w:div w:id="98381503">
      <w:bodyDiv w:val="1"/>
      <w:marLeft w:val="0"/>
      <w:marRight w:val="0"/>
      <w:marTop w:val="0"/>
      <w:marBottom w:val="0"/>
      <w:divBdr>
        <w:top w:val="none" w:sz="0" w:space="0" w:color="auto"/>
        <w:left w:val="none" w:sz="0" w:space="0" w:color="auto"/>
        <w:bottom w:val="none" w:sz="0" w:space="0" w:color="auto"/>
        <w:right w:val="none" w:sz="0" w:space="0" w:color="auto"/>
      </w:divBdr>
    </w:div>
    <w:div w:id="102195339">
      <w:bodyDiv w:val="1"/>
      <w:marLeft w:val="0"/>
      <w:marRight w:val="0"/>
      <w:marTop w:val="0"/>
      <w:marBottom w:val="0"/>
      <w:divBdr>
        <w:top w:val="none" w:sz="0" w:space="0" w:color="auto"/>
        <w:left w:val="none" w:sz="0" w:space="0" w:color="auto"/>
        <w:bottom w:val="none" w:sz="0" w:space="0" w:color="auto"/>
        <w:right w:val="none" w:sz="0" w:space="0" w:color="auto"/>
      </w:divBdr>
    </w:div>
    <w:div w:id="117989317">
      <w:bodyDiv w:val="1"/>
      <w:marLeft w:val="0"/>
      <w:marRight w:val="0"/>
      <w:marTop w:val="0"/>
      <w:marBottom w:val="0"/>
      <w:divBdr>
        <w:top w:val="none" w:sz="0" w:space="0" w:color="auto"/>
        <w:left w:val="none" w:sz="0" w:space="0" w:color="auto"/>
        <w:bottom w:val="none" w:sz="0" w:space="0" w:color="auto"/>
        <w:right w:val="none" w:sz="0" w:space="0" w:color="auto"/>
      </w:divBdr>
    </w:div>
    <w:div w:id="127281282">
      <w:bodyDiv w:val="1"/>
      <w:marLeft w:val="0"/>
      <w:marRight w:val="0"/>
      <w:marTop w:val="0"/>
      <w:marBottom w:val="0"/>
      <w:divBdr>
        <w:top w:val="none" w:sz="0" w:space="0" w:color="auto"/>
        <w:left w:val="none" w:sz="0" w:space="0" w:color="auto"/>
        <w:bottom w:val="none" w:sz="0" w:space="0" w:color="auto"/>
        <w:right w:val="none" w:sz="0" w:space="0" w:color="auto"/>
      </w:divBdr>
    </w:div>
    <w:div w:id="128130615">
      <w:bodyDiv w:val="1"/>
      <w:marLeft w:val="0"/>
      <w:marRight w:val="0"/>
      <w:marTop w:val="0"/>
      <w:marBottom w:val="0"/>
      <w:divBdr>
        <w:top w:val="none" w:sz="0" w:space="0" w:color="auto"/>
        <w:left w:val="none" w:sz="0" w:space="0" w:color="auto"/>
        <w:bottom w:val="none" w:sz="0" w:space="0" w:color="auto"/>
        <w:right w:val="none" w:sz="0" w:space="0" w:color="auto"/>
      </w:divBdr>
    </w:div>
    <w:div w:id="135150296">
      <w:bodyDiv w:val="1"/>
      <w:marLeft w:val="0"/>
      <w:marRight w:val="0"/>
      <w:marTop w:val="0"/>
      <w:marBottom w:val="0"/>
      <w:divBdr>
        <w:top w:val="none" w:sz="0" w:space="0" w:color="auto"/>
        <w:left w:val="none" w:sz="0" w:space="0" w:color="auto"/>
        <w:bottom w:val="none" w:sz="0" w:space="0" w:color="auto"/>
        <w:right w:val="none" w:sz="0" w:space="0" w:color="auto"/>
      </w:divBdr>
    </w:div>
    <w:div w:id="155389584">
      <w:bodyDiv w:val="1"/>
      <w:marLeft w:val="0"/>
      <w:marRight w:val="0"/>
      <w:marTop w:val="0"/>
      <w:marBottom w:val="0"/>
      <w:divBdr>
        <w:top w:val="none" w:sz="0" w:space="0" w:color="auto"/>
        <w:left w:val="none" w:sz="0" w:space="0" w:color="auto"/>
        <w:bottom w:val="none" w:sz="0" w:space="0" w:color="auto"/>
        <w:right w:val="none" w:sz="0" w:space="0" w:color="auto"/>
      </w:divBdr>
      <w:divsChild>
        <w:div w:id="104928510">
          <w:marLeft w:val="0"/>
          <w:marRight w:val="0"/>
          <w:marTop w:val="0"/>
          <w:marBottom w:val="0"/>
          <w:divBdr>
            <w:top w:val="none" w:sz="0" w:space="0" w:color="auto"/>
            <w:left w:val="none" w:sz="0" w:space="0" w:color="auto"/>
            <w:bottom w:val="none" w:sz="0" w:space="0" w:color="auto"/>
            <w:right w:val="none" w:sz="0" w:space="0" w:color="auto"/>
          </w:divBdr>
        </w:div>
        <w:div w:id="351414653">
          <w:marLeft w:val="0"/>
          <w:marRight w:val="0"/>
          <w:marTop w:val="0"/>
          <w:marBottom w:val="0"/>
          <w:divBdr>
            <w:top w:val="none" w:sz="0" w:space="0" w:color="auto"/>
            <w:left w:val="none" w:sz="0" w:space="0" w:color="auto"/>
            <w:bottom w:val="none" w:sz="0" w:space="0" w:color="auto"/>
            <w:right w:val="none" w:sz="0" w:space="0" w:color="auto"/>
          </w:divBdr>
        </w:div>
        <w:div w:id="375933241">
          <w:marLeft w:val="0"/>
          <w:marRight w:val="0"/>
          <w:marTop w:val="0"/>
          <w:marBottom w:val="0"/>
          <w:divBdr>
            <w:top w:val="none" w:sz="0" w:space="0" w:color="auto"/>
            <w:left w:val="none" w:sz="0" w:space="0" w:color="auto"/>
            <w:bottom w:val="none" w:sz="0" w:space="0" w:color="auto"/>
            <w:right w:val="none" w:sz="0" w:space="0" w:color="auto"/>
          </w:divBdr>
        </w:div>
        <w:div w:id="409235169">
          <w:marLeft w:val="0"/>
          <w:marRight w:val="0"/>
          <w:marTop w:val="0"/>
          <w:marBottom w:val="0"/>
          <w:divBdr>
            <w:top w:val="none" w:sz="0" w:space="0" w:color="auto"/>
            <w:left w:val="none" w:sz="0" w:space="0" w:color="auto"/>
            <w:bottom w:val="none" w:sz="0" w:space="0" w:color="auto"/>
            <w:right w:val="none" w:sz="0" w:space="0" w:color="auto"/>
          </w:divBdr>
        </w:div>
        <w:div w:id="464736771">
          <w:marLeft w:val="0"/>
          <w:marRight w:val="0"/>
          <w:marTop w:val="0"/>
          <w:marBottom w:val="0"/>
          <w:divBdr>
            <w:top w:val="none" w:sz="0" w:space="0" w:color="auto"/>
            <w:left w:val="none" w:sz="0" w:space="0" w:color="auto"/>
            <w:bottom w:val="none" w:sz="0" w:space="0" w:color="auto"/>
            <w:right w:val="none" w:sz="0" w:space="0" w:color="auto"/>
          </w:divBdr>
        </w:div>
        <w:div w:id="513767513">
          <w:marLeft w:val="0"/>
          <w:marRight w:val="0"/>
          <w:marTop w:val="0"/>
          <w:marBottom w:val="0"/>
          <w:divBdr>
            <w:top w:val="none" w:sz="0" w:space="0" w:color="auto"/>
            <w:left w:val="none" w:sz="0" w:space="0" w:color="auto"/>
            <w:bottom w:val="none" w:sz="0" w:space="0" w:color="auto"/>
            <w:right w:val="none" w:sz="0" w:space="0" w:color="auto"/>
          </w:divBdr>
        </w:div>
        <w:div w:id="523446531">
          <w:marLeft w:val="0"/>
          <w:marRight w:val="0"/>
          <w:marTop w:val="0"/>
          <w:marBottom w:val="0"/>
          <w:divBdr>
            <w:top w:val="none" w:sz="0" w:space="0" w:color="auto"/>
            <w:left w:val="none" w:sz="0" w:space="0" w:color="auto"/>
            <w:bottom w:val="none" w:sz="0" w:space="0" w:color="auto"/>
            <w:right w:val="none" w:sz="0" w:space="0" w:color="auto"/>
          </w:divBdr>
        </w:div>
        <w:div w:id="688606599">
          <w:marLeft w:val="0"/>
          <w:marRight w:val="0"/>
          <w:marTop w:val="0"/>
          <w:marBottom w:val="0"/>
          <w:divBdr>
            <w:top w:val="none" w:sz="0" w:space="0" w:color="auto"/>
            <w:left w:val="none" w:sz="0" w:space="0" w:color="auto"/>
            <w:bottom w:val="none" w:sz="0" w:space="0" w:color="auto"/>
            <w:right w:val="none" w:sz="0" w:space="0" w:color="auto"/>
          </w:divBdr>
        </w:div>
        <w:div w:id="1024597347">
          <w:marLeft w:val="0"/>
          <w:marRight w:val="0"/>
          <w:marTop w:val="0"/>
          <w:marBottom w:val="0"/>
          <w:divBdr>
            <w:top w:val="none" w:sz="0" w:space="0" w:color="auto"/>
            <w:left w:val="none" w:sz="0" w:space="0" w:color="auto"/>
            <w:bottom w:val="none" w:sz="0" w:space="0" w:color="auto"/>
            <w:right w:val="none" w:sz="0" w:space="0" w:color="auto"/>
          </w:divBdr>
        </w:div>
        <w:div w:id="1055009437">
          <w:marLeft w:val="0"/>
          <w:marRight w:val="0"/>
          <w:marTop w:val="0"/>
          <w:marBottom w:val="0"/>
          <w:divBdr>
            <w:top w:val="none" w:sz="0" w:space="0" w:color="auto"/>
            <w:left w:val="none" w:sz="0" w:space="0" w:color="auto"/>
            <w:bottom w:val="none" w:sz="0" w:space="0" w:color="auto"/>
            <w:right w:val="none" w:sz="0" w:space="0" w:color="auto"/>
          </w:divBdr>
        </w:div>
        <w:div w:id="1215116765">
          <w:marLeft w:val="0"/>
          <w:marRight w:val="0"/>
          <w:marTop w:val="0"/>
          <w:marBottom w:val="0"/>
          <w:divBdr>
            <w:top w:val="none" w:sz="0" w:space="0" w:color="auto"/>
            <w:left w:val="none" w:sz="0" w:space="0" w:color="auto"/>
            <w:bottom w:val="none" w:sz="0" w:space="0" w:color="auto"/>
            <w:right w:val="none" w:sz="0" w:space="0" w:color="auto"/>
          </w:divBdr>
        </w:div>
        <w:div w:id="1482190499">
          <w:marLeft w:val="0"/>
          <w:marRight w:val="0"/>
          <w:marTop w:val="0"/>
          <w:marBottom w:val="0"/>
          <w:divBdr>
            <w:top w:val="none" w:sz="0" w:space="0" w:color="auto"/>
            <w:left w:val="none" w:sz="0" w:space="0" w:color="auto"/>
            <w:bottom w:val="none" w:sz="0" w:space="0" w:color="auto"/>
            <w:right w:val="none" w:sz="0" w:space="0" w:color="auto"/>
          </w:divBdr>
        </w:div>
        <w:div w:id="1600064658">
          <w:marLeft w:val="0"/>
          <w:marRight w:val="0"/>
          <w:marTop w:val="0"/>
          <w:marBottom w:val="0"/>
          <w:divBdr>
            <w:top w:val="none" w:sz="0" w:space="0" w:color="auto"/>
            <w:left w:val="none" w:sz="0" w:space="0" w:color="auto"/>
            <w:bottom w:val="none" w:sz="0" w:space="0" w:color="auto"/>
            <w:right w:val="none" w:sz="0" w:space="0" w:color="auto"/>
          </w:divBdr>
        </w:div>
        <w:div w:id="1627542780">
          <w:marLeft w:val="0"/>
          <w:marRight w:val="0"/>
          <w:marTop w:val="0"/>
          <w:marBottom w:val="0"/>
          <w:divBdr>
            <w:top w:val="none" w:sz="0" w:space="0" w:color="auto"/>
            <w:left w:val="none" w:sz="0" w:space="0" w:color="auto"/>
            <w:bottom w:val="none" w:sz="0" w:space="0" w:color="auto"/>
            <w:right w:val="none" w:sz="0" w:space="0" w:color="auto"/>
          </w:divBdr>
        </w:div>
        <w:div w:id="1658142284">
          <w:marLeft w:val="0"/>
          <w:marRight w:val="0"/>
          <w:marTop w:val="0"/>
          <w:marBottom w:val="0"/>
          <w:divBdr>
            <w:top w:val="none" w:sz="0" w:space="0" w:color="auto"/>
            <w:left w:val="none" w:sz="0" w:space="0" w:color="auto"/>
            <w:bottom w:val="none" w:sz="0" w:space="0" w:color="auto"/>
            <w:right w:val="none" w:sz="0" w:space="0" w:color="auto"/>
          </w:divBdr>
        </w:div>
        <w:div w:id="1660305653">
          <w:marLeft w:val="0"/>
          <w:marRight w:val="0"/>
          <w:marTop w:val="0"/>
          <w:marBottom w:val="0"/>
          <w:divBdr>
            <w:top w:val="none" w:sz="0" w:space="0" w:color="auto"/>
            <w:left w:val="none" w:sz="0" w:space="0" w:color="auto"/>
            <w:bottom w:val="none" w:sz="0" w:space="0" w:color="auto"/>
            <w:right w:val="none" w:sz="0" w:space="0" w:color="auto"/>
          </w:divBdr>
        </w:div>
        <w:div w:id="1667702966">
          <w:marLeft w:val="0"/>
          <w:marRight w:val="0"/>
          <w:marTop w:val="0"/>
          <w:marBottom w:val="0"/>
          <w:divBdr>
            <w:top w:val="none" w:sz="0" w:space="0" w:color="auto"/>
            <w:left w:val="none" w:sz="0" w:space="0" w:color="auto"/>
            <w:bottom w:val="none" w:sz="0" w:space="0" w:color="auto"/>
            <w:right w:val="none" w:sz="0" w:space="0" w:color="auto"/>
          </w:divBdr>
        </w:div>
        <w:div w:id="1721587017">
          <w:marLeft w:val="0"/>
          <w:marRight w:val="0"/>
          <w:marTop w:val="0"/>
          <w:marBottom w:val="0"/>
          <w:divBdr>
            <w:top w:val="none" w:sz="0" w:space="0" w:color="auto"/>
            <w:left w:val="none" w:sz="0" w:space="0" w:color="auto"/>
            <w:bottom w:val="none" w:sz="0" w:space="0" w:color="auto"/>
            <w:right w:val="none" w:sz="0" w:space="0" w:color="auto"/>
          </w:divBdr>
        </w:div>
        <w:div w:id="1769423456">
          <w:marLeft w:val="0"/>
          <w:marRight w:val="0"/>
          <w:marTop w:val="0"/>
          <w:marBottom w:val="0"/>
          <w:divBdr>
            <w:top w:val="none" w:sz="0" w:space="0" w:color="auto"/>
            <w:left w:val="none" w:sz="0" w:space="0" w:color="auto"/>
            <w:bottom w:val="none" w:sz="0" w:space="0" w:color="auto"/>
            <w:right w:val="none" w:sz="0" w:space="0" w:color="auto"/>
          </w:divBdr>
        </w:div>
        <w:div w:id="1810787056">
          <w:marLeft w:val="0"/>
          <w:marRight w:val="0"/>
          <w:marTop w:val="0"/>
          <w:marBottom w:val="0"/>
          <w:divBdr>
            <w:top w:val="none" w:sz="0" w:space="0" w:color="auto"/>
            <w:left w:val="none" w:sz="0" w:space="0" w:color="auto"/>
            <w:bottom w:val="none" w:sz="0" w:space="0" w:color="auto"/>
            <w:right w:val="none" w:sz="0" w:space="0" w:color="auto"/>
          </w:divBdr>
        </w:div>
        <w:div w:id="1837914768">
          <w:marLeft w:val="0"/>
          <w:marRight w:val="0"/>
          <w:marTop w:val="0"/>
          <w:marBottom w:val="0"/>
          <w:divBdr>
            <w:top w:val="none" w:sz="0" w:space="0" w:color="auto"/>
            <w:left w:val="none" w:sz="0" w:space="0" w:color="auto"/>
            <w:bottom w:val="none" w:sz="0" w:space="0" w:color="auto"/>
            <w:right w:val="none" w:sz="0" w:space="0" w:color="auto"/>
          </w:divBdr>
        </w:div>
        <w:div w:id="1959989512">
          <w:marLeft w:val="0"/>
          <w:marRight w:val="0"/>
          <w:marTop w:val="0"/>
          <w:marBottom w:val="0"/>
          <w:divBdr>
            <w:top w:val="none" w:sz="0" w:space="0" w:color="auto"/>
            <w:left w:val="none" w:sz="0" w:space="0" w:color="auto"/>
            <w:bottom w:val="none" w:sz="0" w:space="0" w:color="auto"/>
            <w:right w:val="none" w:sz="0" w:space="0" w:color="auto"/>
          </w:divBdr>
        </w:div>
        <w:div w:id="2020498989">
          <w:marLeft w:val="0"/>
          <w:marRight w:val="0"/>
          <w:marTop w:val="0"/>
          <w:marBottom w:val="0"/>
          <w:divBdr>
            <w:top w:val="none" w:sz="0" w:space="0" w:color="auto"/>
            <w:left w:val="none" w:sz="0" w:space="0" w:color="auto"/>
            <w:bottom w:val="none" w:sz="0" w:space="0" w:color="auto"/>
            <w:right w:val="none" w:sz="0" w:space="0" w:color="auto"/>
          </w:divBdr>
        </w:div>
        <w:div w:id="2096583141">
          <w:marLeft w:val="0"/>
          <w:marRight w:val="0"/>
          <w:marTop w:val="0"/>
          <w:marBottom w:val="0"/>
          <w:divBdr>
            <w:top w:val="none" w:sz="0" w:space="0" w:color="auto"/>
            <w:left w:val="none" w:sz="0" w:space="0" w:color="auto"/>
            <w:bottom w:val="none" w:sz="0" w:space="0" w:color="auto"/>
            <w:right w:val="none" w:sz="0" w:space="0" w:color="auto"/>
          </w:divBdr>
        </w:div>
      </w:divsChild>
    </w:div>
    <w:div w:id="158078174">
      <w:bodyDiv w:val="1"/>
      <w:marLeft w:val="0"/>
      <w:marRight w:val="0"/>
      <w:marTop w:val="0"/>
      <w:marBottom w:val="0"/>
      <w:divBdr>
        <w:top w:val="none" w:sz="0" w:space="0" w:color="auto"/>
        <w:left w:val="none" w:sz="0" w:space="0" w:color="auto"/>
        <w:bottom w:val="none" w:sz="0" w:space="0" w:color="auto"/>
        <w:right w:val="none" w:sz="0" w:space="0" w:color="auto"/>
      </w:divBdr>
    </w:div>
    <w:div w:id="166218166">
      <w:bodyDiv w:val="1"/>
      <w:marLeft w:val="0"/>
      <w:marRight w:val="0"/>
      <w:marTop w:val="0"/>
      <w:marBottom w:val="0"/>
      <w:divBdr>
        <w:top w:val="none" w:sz="0" w:space="0" w:color="auto"/>
        <w:left w:val="none" w:sz="0" w:space="0" w:color="auto"/>
        <w:bottom w:val="none" w:sz="0" w:space="0" w:color="auto"/>
        <w:right w:val="none" w:sz="0" w:space="0" w:color="auto"/>
      </w:divBdr>
    </w:div>
    <w:div w:id="199251181">
      <w:bodyDiv w:val="1"/>
      <w:marLeft w:val="0"/>
      <w:marRight w:val="0"/>
      <w:marTop w:val="0"/>
      <w:marBottom w:val="0"/>
      <w:divBdr>
        <w:top w:val="none" w:sz="0" w:space="0" w:color="auto"/>
        <w:left w:val="none" w:sz="0" w:space="0" w:color="auto"/>
        <w:bottom w:val="none" w:sz="0" w:space="0" w:color="auto"/>
        <w:right w:val="none" w:sz="0" w:space="0" w:color="auto"/>
      </w:divBdr>
    </w:div>
    <w:div w:id="229342811">
      <w:bodyDiv w:val="1"/>
      <w:marLeft w:val="0"/>
      <w:marRight w:val="0"/>
      <w:marTop w:val="0"/>
      <w:marBottom w:val="0"/>
      <w:divBdr>
        <w:top w:val="none" w:sz="0" w:space="0" w:color="auto"/>
        <w:left w:val="none" w:sz="0" w:space="0" w:color="auto"/>
        <w:bottom w:val="none" w:sz="0" w:space="0" w:color="auto"/>
        <w:right w:val="none" w:sz="0" w:space="0" w:color="auto"/>
      </w:divBdr>
    </w:div>
    <w:div w:id="233243704">
      <w:bodyDiv w:val="1"/>
      <w:marLeft w:val="0"/>
      <w:marRight w:val="0"/>
      <w:marTop w:val="0"/>
      <w:marBottom w:val="0"/>
      <w:divBdr>
        <w:top w:val="none" w:sz="0" w:space="0" w:color="auto"/>
        <w:left w:val="none" w:sz="0" w:space="0" w:color="auto"/>
        <w:bottom w:val="none" w:sz="0" w:space="0" w:color="auto"/>
        <w:right w:val="none" w:sz="0" w:space="0" w:color="auto"/>
      </w:divBdr>
    </w:div>
    <w:div w:id="244069606">
      <w:bodyDiv w:val="1"/>
      <w:marLeft w:val="0"/>
      <w:marRight w:val="0"/>
      <w:marTop w:val="0"/>
      <w:marBottom w:val="0"/>
      <w:divBdr>
        <w:top w:val="none" w:sz="0" w:space="0" w:color="auto"/>
        <w:left w:val="none" w:sz="0" w:space="0" w:color="auto"/>
        <w:bottom w:val="none" w:sz="0" w:space="0" w:color="auto"/>
        <w:right w:val="none" w:sz="0" w:space="0" w:color="auto"/>
      </w:divBdr>
    </w:div>
    <w:div w:id="257911456">
      <w:bodyDiv w:val="1"/>
      <w:marLeft w:val="0"/>
      <w:marRight w:val="0"/>
      <w:marTop w:val="0"/>
      <w:marBottom w:val="0"/>
      <w:divBdr>
        <w:top w:val="none" w:sz="0" w:space="0" w:color="auto"/>
        <w:left w:val="none" w:sz="0" w:space="0" w:color="auto"/>
        <w:bottom w:val="none" w:sz="0" w:space="0" w:color="auto"/>
        <w:right w:val="none" w:sz="0" w:space="0" w:color="auto"/>
      </w:divBdr>
      <w:divsChild>
        <w:div w:id="636451409">
          <w:marLeft w:val="0"/>
          <w:marRight w:val="0"/>
          <w:marTop w:val="0"/>
          <w:marBottom w:val="0"/>
          <w:divBdr>
            <w:top w:val="none" w:sz="0" w:space="0" w:color="auto"/>
            <w:left w:val="none" w:sz="0" w:space="0" w:color="auto"/>
            <w:bottom w:val="none" w:sz="0" w:space="0" w:color="auto"/>
            <w:right w:val="none" w:sz="0" w:space="0" w:color="auto"/>
          </w:divBdr>
        </w:div>
        <w:div w:id="747189388">
          <w:marLeft w:val="0"/>
          <w:marRight w:val="0"/>
          <w:marTop w:val="0"/>
          <w:marBottom w:val="0"/>
          <w:divBdr>
            <w:top w:val="none" w:sz="0" w:space="0" w:color="auto"/>
            <w:left w:val="none" w:sz="0" w:space="0" w:color="auto"/>
            <w:bottom w:val="none" w:sz="0" w:space="0" w:color="auto"/>
            <w:right w:val="none" w:sz="0" w:space="0" w:color="auto"/>
          </w:divBdr>
        </w:div>
        <w:div w:id="783773281">
          <w:marLeft w:val="0"/>
          <w:marRight w:val="0"/>
          <w:marTop w:val="0"/>
          <w:marBottom w:val="0"/>
          <w:divBdr>
            <w:top w:val="none" w:sz="0" w:space="0" w:color="auto"/>
            <w:left w:val="none" w:sz="0" w:space="0" w:color="auto"/>
            <w:bottom w:val="none" w:sz="0" w:space="0" w:color="auto"/>
            <w:right w:val="none" w:sz="0" w:space="0" w:color="auto"/>
          </w:divBdr>
        </w:div>
        <w:div w:id="1230733129">
          <w:marLeft w:val="0"/>
          <w:marRight w:val="0"/>
          <w:marTop w:val="0"/>
          <w:marBottom w:val="0"/>
          <w:divBdr>
            <w:top w:val="none" w:sz="0" w:space="0" w:color="auto"/>
            <w:left w:val="none" w:sz="0" w:space="0" w:color="auto"/>
            <w:bottom w:val="none" w:sz="0" w:space="0" w:color="auto"/>
            <w:right w:val="none" w:sz="0" w:space="0" w:color="auto"/>
          </w:divBdr>
        </w:div>
        <w:div w:id="1309286701">
          <w:marLeft w:val="0"/>
          <w:marRight w:val="0"/>
          <w:marTop w:val="0"/>
          <w:marBottom w:val="0"/>
          <w:divBdr>
            <w:top w:val="none" w:sz="0" w:space="0" w:color="auto"/>
            <w:left w:val="none" w:sz="0" w:space="0" w:color="auto"/>
            <w:bottom w:val="none" w:sz="0" w:space="0" w:color="auto"/>
            <w:right w:val="none" w:sz="0" w:space="0" w:color="auto"/>
          </w:divBdr>
        </w:div>
        <w:div w:id="1324776745">
          <w:marLeft w:val="0"/>
          <w:marRight w:val="0"/>
          <w:marTop w:val="0"/>
          <w:marBottom w:val="0"/>
          <w:divBdr>
            <w:top w:val="none" w:sz="0" w:space="0" w:color="auto"/>
            <w:left w:val="none" w:sz="0" w:space="0" w:color="auto"/>
            <w:bottom w:val="none" w:sz="0" w:space="0" w:color="auto"/>
            <w:right w:val="none" w:sz="0" w:space="0" w:color="auto"/>
          </w:divBdr>
        </w:div>
        <w:div w:id="2010448748">
          <w:marLeft w:val="0"/>
          <w:marRight w:val="0"/>
          <w:marTop w:val="0"/>
          <w:marBottom w:val="0"/>
          <w:divBdr>
            <w:top w:val="none" w:sz="0" w:space="0" w:color="auto"/>
            <w:left w:val="none" w:sz="0" w:space="0" w:color="auto"/>
            <w:bottom w:val="none" w:sz="0" w:space="0" w:color="auto"/>
            <w:right w:val="none" w:sz="0" w:space="0" w:color="auto"/>
          </w:divBdr>
        </w:div>
      </w:divsChild>
    </w:div>
    <w:div w:id="262960586">
      <w:bodyDiv w:val="1"/>
      <w:marLeft w:val="0"/>
      <w:marRight w:val="0"/>
      <w:marTop w:val="0"/>
      <w:marBottom w:val="0"/>
      <w:divBdr>
        <w:top w:val="none" w:sz="0" w:space="0" w:color="auto"/>
        <w:left w:val="none" w:sz="0" w:space="0" w:color="auto"/>
        <w:bottom w:val="none" w:sz="0" w:space="0" w:color="auto"/>
        <w:right w:val="none" w:sz="0" w:space="0" w:color="auto"/>
      </w:divBdr>
      <w:divsChild>
        <w:div w:id="22487569">
          <w:marLeft w:val="0"/>
          <w:marRight w:val="0"/>
          <w:marTop w:val="0"/>
          <w:marBottom w:val="0"/>
          <w:divBdr>
            <w:top w:val="none" w:sz="0" w:space="0" w:color="auto"/>
            <w:left w:val="none" w:sz="0" w:space="0" w:color="auto"/>
            <w:bottom w:val="none" w:sz="0" w:space="0" w:color="auto"/>
            <w:right w:val="none" w:sz="0" w:space="0" w:color="auto"/>
          </w:divBdr>
        </w:div>
        <w:div w:id="213204328">
          <w:marLeft w:val="0"/>
          <w:marRight w:val="0"/>
          <w:marTop w:val="0"/>
          <w:marBottom w:val="0"/>
          <w:divBdr>
            <w:top w:val="none" w:sz="0" w:space="0" w:color="auto"/>
            <w:left w:val="none" w:sz="0" w:space="0" w:color="auto"/>
            <w:bottom w:val="none" w:sz="0" w:space="0" w:color="auto"/>
            <w:right w:val="none" w:sz="0" w:space="0" w:color="auto"/>
          </w:divBdr>
        </w:div>
        <w:div w:id="217787282">
          <w:marLeft w:val="0"/>
          <w:marRight w:val="0"/>
          <w:marTop w:val="0"/>
          <w:marBottom w:val="0"/>
          <w:divBdr>
            <w:top w:val="none" w:sz="0" w:space="0" w:color="auto"/>
            <w:left w:val="none" w:sz="0" w:space="0" w:color="auto"/>
            <w:bottom w:val="none" w:sz="0" w:space="0" w:color="auto"/>
            <w:right w:val="none" w:sz="0" w:space="0" w:color="auto"/>
          </w:divBdr>
        </w:div>
        <w:div w:id="217933508">
          <w:marLeft w:val="0"/>
          <w:marRight w:val="0"/>
          <w:marTop w:val="0"/>
          <w:marBottom w:val="0"/>
          <w:divBdr>
            <w:top w:val="none" w:sz="0" w:space="0" w:color="auto"/>
            <w:left w:val="none" w:sz="0" w:space="0" w:color="auto"/>
            <w:bottom w:val="none" w:sz="0" w:space="0" w:color="auto"/>
            <w:right w:val="none" w:sz="0" w:space="0" w:color="auto"/>
          </w:divBdr>
        </w:div>
        <w:div w:id="387649309">
          <w:marLeft w:val="0"/>
          <w:marRight w:val="0"/>
          <w:marTop w:val="0"/>
          <w:marBottom w:val="0"/>
          <w:divBdr>
            <w:top w:val="none" w:sz="0" w:space="0" w:color="auto"/>
            <w:left w:val="none" w:sz="0" w:space="0" w:color="auto"/>
            <w:bottom w:val="none" w:sz="0" w:space="0" w:color="auto"/>
            <w:right w:val="none" w:sz="0" w:space="0" w:color="auto"/>
          </w:divBdr>
        </w:div>
        <w:div w:id="1255043787">
          <w:marLeft w:val="0"/>
          <w:marRight w:val="0"/>
          <w:marTop w:val="0"/>
          <w:marBottom w:val="0"/>
          <w:divBdr>
            <w:top w:val="none" w:sz="0" w:space="0" w:color="auto"/>
            <w:left w:val="none" w:sz="0" w:space="0" w:color="auto"/>
            <w:bottom w:val="none" w:sz="0" w:space="0" w:color="auto"/>
            <w:right w:val="none" w:sz="0" w:space="0" w:color="auto"/>
          </w:divBdr>
        </w:div>
        <w:div w:id="1671172528">
          <w:marLeft w:val="0"/>
          <w:marRight w:val="0"/>
          <w:marTop w:val="0"/>
          <w:marBottom w:val="0"/>
          <w:divBdr>
            <w:top w:val="none" w:sz="0" w:space="0" w:color="auto"/>
            <w:left w:val="none" w:sz="0" w:space="0" w:color="auto"/>
            <w:bottom w:val="none" w:sz="0" w:space="0" w:color="auto"/>
            <w:right w:val="none" w:sz="0" w:space="0" w:color="auto"/>
          </w:divBdr>
        </w:div>
        <w:div w:id="1676804263">
          <w:marLeft w:val="0"/>
          <w:marRight w:val="0"/>
          <w:marTop w:val="0"/>
          <w:marBottom w:val="0"/>
          <w:divBdr>
            <w:top w:val="none" w:sz="0" w:space="0" w:color="auto"/>
            <w:left w:val="none" w:sz="0" w:space="0" w:color="auto"/>
            <w:bottom w:val="none" w:sz="0" w:space="0" w:color="auto"/>
            <w:right w:val="none" w:sz="0" w:space="0" w:color="auto"/>
          </w:divBdr>
        </w:div>
        <w:div w:id="1703440368">
          <w:marLeft w:val="0"/>
          <w:marRight w:val="0"/>
          <w:marTop w:val="0"/>
          <w:marBottom w:val="0"/>
          <w:divBdr>
            <w:top w:val="none" w:sz="0" w:space="0" w:color="auto"/>
            <w:left w:val="none" w:sz="0" w:space="0" w:color="auto"/>
            <w:bottom w:val="none" w:sz="0" w:space="0" w:color="auto"/>
            <w:right w:val="none" w:sz="0" w:space="0" w:color="auto"/>
          </w:divBdr>
        </w:div>
        <w:div w:id="1761025613">
          <w:marLeft w:val="0"/>
          <w:marRight w:val="0"/>
          <w:marTop w:val="0"/>
          <w:marBottom w:val="0"/>
          <w:divBdr>
            <w:top w:val="none" w:sz="0" w:space="0" w:color="auto"/>
            <w:left w:val="none" w:sz="0" w:space="0" w:color="auto"/>
            <w:bottom w:val="none" w:sz="0" w:space="0" w:color="auto"/>
            <w:right w:val="none" w:sz="0" w:space="0" w:color="auto"/>
          </w:divBdr>
        </w:div>
        <w:div w:id="1788894079">
          <w:marLeft w:val="0"/>
          <w:marRight w:val="0"/>
          <w:marTop w:val="0"/>
          <w:marBottom w:val="0"/>
          <w:divBdr>
            <w:top w:val="none" w:sz="0" w:space="0" w:color="auto"/>
            <w:left w:val="none" w:sz="0" w:space="0" w:color="auto"/>
            <w:bottom w:val="none" w:sz="0" w:space="0" w:color="auto"/>
            <w:right w:val="none" w:sz="0" w:space="0" w:color="auto"/>
          </w:divBdr>
        </w:div>
        <w:div w:id="1872914325">
          <w:marLeft w:val="0"/>
          <w:marRight w:val="0"/>
          <w:marTop w:val="0"/>
          <w:marBottom w:val="0"/>
          <w:divBdr>
            <w:top w:val="none" w:sz="0" w:space="0" w:color="auto"/>
            <w:left w:val="none" w:sz="0" w:space="0" w:color="auto"/>
            <w:bottom w:val="none" w:sz="0" w:space="0" w:color="auto"/>
            <w:right w:val="none" w:sz="0" w:space="0" w:color="auto"/>
          </w:divBdr>
        </w:div>
        <w:div w:id="1993026269">
          <w:marLeft w:val="0"/>
          <w:marRight w:val="0"/>
          <w:marTop w:val="0"/>
          <w:marBottom w:val="0"/>
          <w:divBdr>
            <w:top w:val="none" w:sz="0" w:space="0" w:color="auto"/>
            <w:left w:val="none" w:sz="0" w:space="0" w:color="auto"/>
            <w:bottom w:val="none" w:sz="0" w:space="0" w:color="auto"/>
            <w:right w:val="none" w:sz="0" w:space="0" w:color="auto"/>
          </w:divBdr>
        </w:div>
      </w:divsChild>
    </w:div>
    <w:div w:id="289669204">
      <w:bodyDiv w:val="1"/>
      <w:marLeft w:val="0"/>
      <w:marRight w:val="0"/>
      <w:marTop w:val="0"/>
      <w:marBottom w:val="0"/>
      <w:divBdr>
        <w:top w:val="none" w:sz="0" w:space="0" w:color="auto"/>
        <w:left w:val="none" w:sz="0" w:space="0" w:color="auto"/>
        <w:bottom w:val="none" w:sz="0" w:space="0" w:color="auto"/>
        <w:right w:val="none" w:sz="0" w:space="0" w:color="auto"/>
      </w:divBdr>
    </w:div>
    <w:div w:id="300499240">
      <w:bodyDiv w:val="1"/>
      <w:marLeft w:val="0"/>
      <w:marRight w:val="0"/>
      <w:marTop w:val="0"/>
      <w:marBottom w:val="0"/>
      <w:divBdr>
        <w:top w:val="none" w:sz="0" w:space="0" w:color="auto"/>
        <w:left w:val="none" w:sz="0" w:space="0" w:color="auto"/>
        <w:bottom w:val="none" w:sz="0" w:space="0" w:color="auto"/>
        <w:right w:val="none" w:sz="0" w:space="0" w:color="auto"/>
      </w:divBdr>
    </w:div>
    <w:div w:id="303972720">
      <w:bodyDiv w:val="1"/>
      <w:marLeft w:val="0"/>
      <w:marRight w:val="0"/>
      <w:marTop w:val="0"/>
      <w:marBottom w:val="0"/>
      <w:divBdr>
        <w:top w:val="none" w:sz="0" w:space="0" w:color="auto"/>
        <w:left w:val="none" w:sz="0" w:space="0" w:color="auto"/>
        <w:bottom w:val="none" w:sz="0" w:space="0" w:color="auto"/>
        <w:right w:val="none" w:sz="0" w:space="0" w:color="auto"/>
      </w:divBdr>
    </w:div>
    <w:div w:id="305166370">
      <w:bodyDiv w:val="1"/>
      <w:marLeft w:val="0"/>
      <w:marRight w:val="0"/>
      <w:marTop w:val="0"/>
      <w:marBottom w:val="0"/>
      <w:divBdr>
        <w:top w:val="none" w:sz="0" w:space="0" w:color="auto"/>
        <w:left w:val="none" w:sz="0" w:space="0" w:color="auto"/>
        <w:bottom w:val="none" w:sz="0" w:space="0" w:color="auto"/>
        <w:right w:val="none" w:sz="0" w:space="0" w:color="auto"/>
      </w:divBdr>
    </w:div>
    <w:div w:id="321587481">
      <w:bodyDiv w:val="1"/>
      <w:marLeft w:val="0"/>
      <w:marRight w:val="0"/>
      <w:marTop w:val="0"/>
      <w:marBottom w:val="0"/>
      <w:divBdr>
        <w:top w:val="none" w:sz="0" w:space="0" w:color="auto"/>
        <w:left w:val="none" w:sz="0" w:space="0" w:color="auto"/>
        <w:bottom w:val="none" w:sz="0" w:space="0" w:color="auto"/>
        <w:right w:val="none" w:sz="0" w:space="0" w:color="auto"/>
      </w:divBdr>
    </w:div>
    <w:div w:id="325715867">
      <w:bodyDiv w:val="1"/>
      <w:marLeft w:val="0"/>
      <w:marRight w:val="0"/>
      <w:marTop w:val="0"/>
      <w:marBottom w:val="0"/>
      <w:divBdr>
        <w:top w:val="none" w:sz="0" w:space="0" w:color="auto"/>
        <w:left w:val="none" w:sz="0" w:space="0" w:color="auto"/>
        <w:bottom w:val="none" w:sz="0" w:space="0" w:color="auto"/>
        <w:right w:val="none" w:sz="0" w:space="0" w:color="auto"/>
      </w:divBdr>
    </w:div>
    <w:div w:id="335424179">
      <w:bodyDiv w:val="1"/>
      <w:marLeft w:val="0"/>
      <w:marRight w:val="0"/>
      <w:marTop w:val="0"/>
      <w:marBottom w:val="0"/>
      <w:divBdr>
        <w:top w:val="none" w:sz="0" w:space="0" w:color="auto"/>
        <w:left w:val="none" w:sz="0" w:space="0" w:color="auto"/>
        <w:bottom w:val="none" w:sz="0" w:space="0" w:color="auto"/>
        <w:right w:val="none" w:sz="0" w:space="0" w:color="auto"/>
      </w:divBdr>
    </w:div>
    <w:div w:id="348874069">
      <w:bodyDiv w:val="1"/>
      <w:marLeft w:val="0"/>
      <w:marRight w:val="0"/>
      <w:marTop w:val="0"/>
      <w:marBottom w:val="0"/>
      <w:divBdr>
        <w:top w:val="none" w:sz="0" w:space="0" w:color="auto"/>
        <w:left w:val="none" w:sz="0" w:space="0" w:color="auto"/>
        <w:bottom w:val="none" w:sz="0" w:space="0" w:color="auto"/>
        <w:right w:val="none" w:sz="0" w:space="0" w:color="auto"/>
      </w:divBdr>
    </w:div>
    <w:div w:id="353575156">
      <w:bodyDiv w:val="1"/>
      <w:marLeft w:val="0"/>
      <w:marRight w:val="0"/>
      <w:marTop w:val="0"/>
      <w:marBottom w:val="0"/>
      <w:divBdr>
        <w:top w:val="none" w:sz="0" w:space="0" w:color="auto"/>
        <w:left w:val="none" w:sz="0" w:space="0" w:color="auto"/>
        <w:bottom w:val="none" w:sz="0" w:space="0" w:color="auto"/>
        <w:right w:val="none" w:sz="0" w:space="0" w:color="auto"/>
      </w:divBdr>
    </w:div>
    <w:div w:id="358551960">
      <w:bodyDiv w:val="1"/>
      <w:marLeft w:val="0"/>
      <w:marRight w:val="0"/>
      <w:marTop w:val="0"/>
      <w:marBottom w:val="0"/>
      <w:divBdr>
        <w:top w:val="none" w:sz="0" w:space="0" w:color="auto"/>
        <w:left w:val="none" w:sz="0" w:space="0" w:color="auto"/>
        <w:bottom w:val="none" w:sz="0" w:space="0" w:color="auto"/>
        <w:right w:val="none" w:sz="0" w:space="0" w:color="auto"/>
      </w:divBdr>
    </w:div>
    <w:div w:id="376710306">
      <w:bodyDiv w:val="1"/>
      <w:marLeft w:val="0"/>
      <w:marRight w:val="0"/>
      <w:marTop w:val="0"/>
      <w:marBottom w:val="0"/>
      <w:divBdr>
        <w:top w:val="none" w:sz="0" w:space="0" w:color="auto"/>
        <w:left w:val="none" w:sz="0" w:space="0" w:color="auto"/>
        <w:bottom w:val="none" w:sz="0" w:space="0" w:color="auto"/>
        <w:right w:val="none" w:sz="0" w:space="0" w:color="auto"/>
      </w:divBdr>
    </w:div>
    <w:div w:id="377899524">
      <w:bodyDiv w:val="1"/>
      <w:marLeft w:val="0"/>
      <w:marRight w:val="0"/>
      <w:marTop w:val="0"/>
      <w:marBottom w:val="0"/>
      <w:divBdr>
        <w:top w:val="none" w:sz="0" w:space="0" w:color="auto"/>
        <w:left w:val="none" w:sz="0" w:space="0" w:color="auto"/>
        <w:bottom w:val="none" w:sz="0" w:space="0" w:color="auto"/>
        <w:right w:val="none" w:sz="0" w:space="0" w:color="auto"/>
      </w:divBdr>
    </w:div>
    <w:div w:id="397678974">
      <w:bodyDiv w:val="1"/>
      <w:marLeft w:val="0"/>
      <w:marRight w:val="0"/>
      <w:marTop w:val="0"/>
      <w:marBottom w:val="0"/>
      <w:divBdr>
        <w:top w:val="none" w:sz="0" w:space="0" w:color="auto"/>
        <w:left w:val="none" w:sz="0" w:space="0" w:color="auto"/>
        <w:bottom w:val="none" w:sz="0" w:space="0" w:color="auto"/>
        <w:right w:val="none" w:sz="0" w:space="0" w:color="auto"/>
      </w:divBdr>
    </w:div>
    <w:div w:id="420949679">
      <w:bodyDiv w:val="1"/>
      <w:marLeft w:val="0"/>
      <w:marRight w:val="0"/>
      <w:marTop w:val="0"/>
      <w:marBottom w:val="0"/>
      <w:divBdr>
        <w:top w:val="none" w:sz="0" w:space="0" w:color="auto"/>
        <w:left w:val="none" w:sz="0" w:space="0" w:color="auto"/>
        <w:bottom w:val="none" w:sz="0" w:space="0" w:color="auto"/>
        <w:right w:val="none" w:sz="0" w:space="0" w:color="auto"/>
      </w:divBdr>
    </w:div>
    <w:div w:id="432744595">
      <w:bodyDiv w:val="1"/>
      <w:marLeft w:val="0"/>
      <w:marRight w:val="0"/>
      <w:marTop w:val="0"/>
      <w:marBottom w:val="0"/>
      <w:divBdr>
        <w:top w:val="none" w:sz="0" w:space="0" w:color="auto"/>
        <w:left w:val="none" w:sz="0" w:space="0" w:color="auto"/>
        <w:bottom w:val="none" w:sz="0" w:space="0" w:color="auto"/>
        <w:right w:val="none" w:sz="0" w:space="0" w:color="auto"/>
      </w:divBdr>
    </w:div>
    <w:div w:id="445468482">
      <w:bodyDiv w:val="1"/>
      <w:marLeft w:val="0"/>
      <w:marRight w:val="0"/>
      <w:marTop w:val="0"/>
      <w:marBottom w:val="0"/>
      <w:divBdr>
        <w:top w:val="none" w:sz="0" w:space="0" w:color="auto"/>
        <w:left w:val="none" w:sz="0" w:space="0" w:color="auto"/>
        <w:bottom w:val="none" w:sz="0" w:space="0" w:color="auto"/>
        <w:right w:val="none" w:sz="0" w:space="0" w:color="auto"/>
      </w:divBdr>
    </w:div>
    <w:div w:id="447891779">
      <w:bodyDiv w:val="1"/>
      <w:marLeft w:val="0"/>
      <w:marRight w:val="0"/>
      <w:marTop w:val="0"/>
      <w:marBottom w:val="0"/>
      <w:divBdr>
        <w:top w:val="none" w:sz="0" w:space="0" w:color="auto"/>
        <w:left w:val="none" w:sz="0" w:space="0" w:color="auto"/>
        <w:bottom w:val="none" w:sz="0" w:space="0" w:color="auto"/>
        <w:right w:val="none" w:sz="0" w:space="0" w:color="auto"/>
      </w:divBdr>
    </w:div>
    <w:div w:id="461461209">
      <w:bodyDiv w:val="1"/>
      <w:marLeft w:val="0"/>
      <w:marRight w:val="0"/>
      <w:marTop w:val="0"/>
      <w:marBottom w:val="0"/>
      <w:divBdr>
        <w:top w:val="none" w:sz="0" w:space="0" w:color="auto"/>
        <w:left w:val="none" w:sz="0" w:space="0" w:color="auto"/>
        <w:bottom w:val="none" w:sz="0" w:space="0" w:color="auto"/>
        <w:right w:val="none" w:sz="0" w:space="0" w:color="auto"/>
      </w:divBdr>
    </w:div>
    <w:div w:id="528028946">
      <w:bodyDiv w:val="1"/>
      <w:marLeft w:val="0"/>
      <w:marRight w:val="0"/>
      <w:marTop w:val="0"/>
      <w:marBottom w:val="0"/>
      <w:divBdr>
        <w:top w:val="none" w:sz="0" w:space="0" w:color="auto"/>
        <w:left w:val="none" w:sz="0" w:space="0" w:color="auto"/>
        <w:bottom w:val="none" w:sz="0" w:space="0" w:color="auto"/>
        <w:right w:val="none" w:sz="0" w:space="0" w:color="auto"/>
      </w:divBdr>
    </w:div>
    <w:div w:id="536091754">
      <w:bodyDiv w:val="1"/>
      <w:marLeft w:val="0"/>
      <w:marRight w:val="0"/>
      <w:marTop w:val="0"/>
      <w:marBottom w:val="0"/>
      <w:divBdr>
        <w:top w:val="none" w:sz="0" w:space="0" w:color="auto"/>
        <w:left w:val="none" w:sz="0" w:space="0" w:color="auto"/>
        <w:bottom w:val="none" w:sz="0" w:space="0" w:color="auto"/>
        <w:right w:val="none" w:sz="0" w:space="0" w:color="auto"/>
      </w:divBdr>
      <w:divsChild>
        <w:div w:id="42751447">
          <w:marLeft w:val="0"/>
          <w:marRight w:val="0"/>
          <w:marTop w:val="0"/>
          <w:marBottom w:val="0"/>
          <w:divBdr>
            <w:top w:val="none" w:sz="0" w:space="0" w:color="auto"/>
            <w:left w:val="none" w:sz="0" w:space="0" w:color="auto"/>
            <w:bottom w:val="none" w:sz="0" w:space="0" w:color="auto"/>
            <w:right w:val="none" w:sz="0" w:space="0" w:color="auto"/>
          </w:divBdr>
        </w:div>
        <w:div w:id="867910320">
          <w:marLeft w:val="0"/>
          <w:marRight w:val="0"/>
          <w:marTop w:val="0"/>
          <w:marBottom w:val="0"/>
          <w:divBdr>
            <w:top w:val="none" w:sz="0" w:space="0" w:color="auto"/>
            <w:left w:val="none" w:sz="0" w:space="0" w:color="auto"/>
            <w:bottom w:val="none" w:sz="0" w:space="0" w:color="auto"/>
            <w:right w:val="none" w:sz="0" w:space="0" w:color="auto"/>
          </w:divBdr>
        </w:div>
        <w:div w:id="1468888018">
          <w:marLeft w:val="0"/>
          <w:marRight w:val="0"/>
          <w:marTop w:val="0"/>
          <w:marBottom w:val="0"/>
          <w:divBdr>
            <w:top w:val="none" w:sz="0" w:space="0" w:color="auto"/>
            <w:left w:val="none" w:sz="0" w:space="0" w:color="auto"/>
            <w:bottom w:val="none" w:sz="0" w:space="0" w:color="auto"/>
            <w:right w:val="none" w:sz="0" w:space="0" w:color="auto"/>
          </w:divBdr>
        </w:div>
        <w:div w:id="1588467226">
          <w:marLeft w:val="0"/>
          <w:marRight w:val="0"/>
          <w:marTop w:val="0"/>
          <w:marBottom w:val="0"/>
          <w:divBdr>
            <w:top w:val="none" w:sz="0" w:space="0" w:color="auto"/>
            <w:left w:val="none" w:sz="0" w:space="0" w:color="auto"/>
            <w:bottom w:val="none" w:sz="0" w:space="0" w:color="auto"/>
            <w:right w:val="none" w:sz="0" w:space="0" w:color="auto"/>
          </w:divBdr>
        </w:div>
        <w:div w:id="1858886550">
          <w:marLeft w:val="0"/>
          <w:marRight w:val="0"/>
          <w:marTop w:val="0"/>
          <w:marBottom w:val="0"/>
          <w:divBdr>
            <w:top w:val="none" w:sz="0" w:space="0" w:color="auto"/>
            <w:left w:val="none" w:sz="0" w:space="0" w:color="auto"/>
            <w:bottom w:val="none" w:sz="0" w:space="0" w:color="auto"/>
            <w:right w:val="none" w:sz="0" w:space="0" w:color="auto"/>
          </w:divBdr>
        </w:div>
        <w:div w:id="1888566202">
          <w:marLeft w:val="0"/>
          <w:marRight w:val="0"/>
          <w:marTop w:val="0"/>
          <w:marBottom w:val="0"/>
          <w:divBdr>
            <w:top w:val="none" w:sz="0" w:space="0" w:color="auto"/>
            <w:left w:val="none" w:sz="0" w:space="0" w:color="auto"/>
            <w:bottom w:val="none" w:sz="0" w:space="0" w:color="auto"/>
            <w:right w:val="none" w:sz="0" w:space="0" w:color="auto"/>
          </w:divBdr>
        </w:div>
        <w:div w:id="1889224644">
          <w:marLeft w:val="0"/>
          <w:marRight w:val="0"/>
          <w:marTop w:val="0"/>
          <w:marBottom w:val="0"/>
          <w:divBdr>
            <w:top w:val="none" w:sz="0" w:space="0" w:color="auto"/>
            <w:left w:val="none" w:sz="0" w:space="0" w:color="auto"/>
            <w:bottom w:val="none" w:sz="0" w:space="0" w:color="auto"/>
            <w:right w:val="none" w:sz="0" w:space="0" w:color="auto"/>
          </w:divBdr>
        </w:div>
        <w:div w:id="2008823247">
          <w:marLeft w:val="0"/>
          <w:marRight w:val="0"/>
          <w:marTop w:val="0"/>
          <w:marBottom w:val="0"/>
          <w:divBdr>
            <w:top w:val="none" w:sz="0" w:space="0" w:color="auto"/>
            <w:left w:val="none" w:sz="0" w:space="0" w:color="auto"/>
            <w:bottom w:val="none" w:sz="0" w:space="0" w:color="auto"/>
            <w:right w:val="none" w:sz="0" w:space="0" w:color="auto"/>
          </w:divBdr>
        </w:div>
      </w:divsChild>
    </w:div>
    <w:div w:id="550769866">
      <w:bodyDiv w:val="1"/>
      <w:marLeft w:val="0"/>
      <w:marRight w:val="0"/>
      <w:marTop w:val="0"/>
      <w:marBottom w:val="0"/>
      <w:divBdr>
        <w:top w:val="none" w:sz="0" w:space="0" w:color="auto"/>
        <w:left w:val="none" w:sz="0" w:space="0" w:color="auto"/>
        <w:bottom w:val="none" w:sz="0" w:space="0" w:color="auto"/>
        <w:right w:val="none" w:sz="0" w:space="0" w:color="auto"/>
      </w:divBdr>
    </w:div>
    <w:div w:id="552540324">
      <w:bodyDiv w:val="1"/>
      <w:marLeft w:val="0"/>
      <w:marRight w:val="0"/>
      <w:marTop w:val="0"/>
      <w:marBottom w:val="0"/>
      <w:divBdr>
        <w:top w:val="none" w:sz="0" w:space="0" w:color="auto"/>
        <w:left w:val="none" w:sz="0" w:space="0" w:color="auto"/>
        <w:bottom w:val="none" w:sz="0" w:space="0" w:color="auto"/>
        <w:right w:val="none" w:sz="0" w:space="0" w:color="auto"/>
      </w:divBdr>
    </w:div>
    <w:div w:id="556821113">
      <w:bodyDiv w:val="1"/>
      <w:marLeft w:val="0"/>
      <w:marRight w:val="0"/>
      <w:marTop w:val="0"/>
      <w:marBottom w:val="0"/>
      <w:divBdr>
        <w:top w:val="none" w:sz="0" w:space="0" w:color="auto"/>
        <w:left w:val="none" w:sz="0" w:space="0" w:color="auto"/>
        <w:bottom w:val="none" w:sz="0" w:space="0" w:color="auto"/>
        <w:right w:val="none" w:sz="0" w:space="0" w:color="auto"/>
      </w:divBdr>
    </w:div>
    <w:div w:id="562722342">
      <w:bodyDiv w:val="1"/>
      <w:marLeft w:val="0"/>
      <w:marRight w:val="0"/>
      <w:marTop w:val="0"/>
      <w:marBottom w:val="0"/>
      <w:divBdr>
        <w:top w:val="none" w:sz="0" w:space="0" w:color="auto"/>
        <w:left w:val="none" w:sz="0" w:space="0" w:color="auto"/>
        <w:bottom w:val="none" w:sz="0" w:space="0" w:color="auto"/>
        <w:right w:val="none" w:sz="0" w:space="0" w:color="auto"/>
      </w:divBdr>
    </w:div>
    <w:div w:id="566381051">
      <w:bodyDiv w:val="1"/>
      <w:marLeft w:val="0"/>
      <w:marRight w:val="0"/>
      <w:marTop w:val="0"/>
      <w:marBottom w:val="0"/>
      <w:divBdr>
        <w:top w:val="none" w:sz="0" w:space="0" w:color="auto"/>
        <w:left w:val="none" w:sz="0" w:space="0" w:color="auto"/>
        <w:bottom w:val="none" w:sz="0" w:space="0" w:color="auto"/>
        <w:right w:val="none" w:sz="0" w:space="0" w:color="auto"/>
      </w:divBdr>
    </w:div>
    <w:div w:id="585069159">
      <w:bodyDiv w:val="1"/>
      <w:marLeft w:val="0"/>
      <w:marRight w:val="0"/>
      <w:marTop w:val="0"/>
      <w:marBottom w:val="0"/>
      <w:divBdr>
        <w:top w:val="none" w:sz="0" w:space="0" w:color="auto"/>
        <w:left w:val="none" w:sz="0" w:space="0" w:color="auto"/>
        <w:bottom w:val="none" w:sz="0" w:space="0" w:color="auto"/>
        <w:right w:val="none" w:sz="0" w:space="0" w:color="auto"/>
      </w:divBdr>
      <w:divsChild>
        <w:div w:id="214780695">
          <w:marLeft w:val="0"/>
          <w:marRight w:val="0"/>
          <w:marTop w:val="0"/>
          <w:marBottom w:val="0"/>
          <w:divBdr>
            <w:top w:val="none" w:sz="0" w:space="0" w:color="auto"/>
            <w:left w:val="none" w:sz="0" w:space="0" w:color="auto"/>
            <w:bottom w:val="none" w:sz="0" w:space="0" w:color="auto"/>
            <w:right w:val="none" w:sz="0" w:space="0" w:color="auto"/>
          </w:divBdr>
        </w:div>
        <w:div w:id="216670044">
          <w:marLeft w:val="0"/>
          <w:marRight w:val="0"/>
          <w:marTop w:val="0"/>
          <w:marBottom w:val="0"/>
          <w:divBdr>
            <w:top w:val="none" w:sz="0" w:space="0" w:color="auto"/>
            <w:left w:val="none" w:sz="0" w:space="0" w:color="auto"/>
            <w:bottom w:val="none" w:sz="0" w:space="0" w:color="auto"/>
            <w:right w:val="none" w:sz="0" w:space="0" w:color="auto"/>
          </w:divBdr>
        </w:div>
        <w:div w:id="226577943">
          <w:marLeft w:val="0"/>
          <w:marRight w:val="0"/>
          <w:marTop w:val="0"/>
          <w:marBottom w:val="0"/>
          <w:divBdr>
            <w:top w:val="none" w:sz="0" w:space="0" w:color="auto"/>
            <w:left w:val="none" w:sz="0" w:space="0" w:color="auto"/>
            <w:bottom w:val="none" w:sz="0" w:space="0" w:color="auto"/>
            <w:right w:val="none" w:sz="0" w:space="0" w:color="auto"/>
          </w:divBdr>
        </w:div>
        <w:div w:id="652879615">
          <w:marLeft w:val="0"/>
          <w:marRight w:val="0"/>
          <w:marTop w:val="0"/>
          <w:marBottom w:val="0"/>
          <w:divBdr>
            <w:top w:val="none" w:sz="0" w:space="0" w:color="auto"/>
            <w:left w:val="none" w:sz="0" w:space="0" w:color="auto"/>
            <w:bottom w:val="none" w:sz="0" w:space="0" w:color="auto"/>
            <w:right w:val="none" w:sz="0" w:space="0" w:color="auto"/>
          </w:divBdr>
        </w:div>
        <w:div w:id="951203074">
          <w:marLeft w:val="0"/>
          <w:marRight w:val="0"/>
          <w:marTop w:val="0"/>
          <w:marBottom w:val="0"/>
          <w:divBdr>
            <w:top w:val="none" w:sz="0" w:space="0" w:color="auto"/>
            <w:left w:val="none" w:sz="0" w:space="0" w:color="auto"/>
            <w:bottom w:val="none" w:sz="0" w:space="0" w:color="auto"/>
            <w:right w:val="none" w:sz="0" w:space="0" w:color="auto"/>
          </w:divBdr>
        </w:div>
        <w:div w:id="1056930036">
          <w:marLeft w:val="0"/>
          <w:marRight w:val="0"/>
          <w:marTop w:val="0"/>
          <w:marBottom w:val="0"/>
          <w:divBdr>
            <w:top w:val="none" w:sz="0" w:space="0" w:color="auto"/>
            <w:left w:val="none" w:sz="0" w:space="0" w:color="auto"/>
            <w:bottom w:val="none" w:sz="0" w:space="0" w:color="auto"/>
            <w:right w:val="none" w:sz="0" w:space="0" w:color="auto"/>
          </w:divBdr>
        </w:div>
        <w:div w:id="1189173623">
          <w:marLeft w:val="0"/>
          <w:marRight w:val="0"/>
          <w:marTop w:val="0"/>
          <w:marBottom w:val="0"/>
          <w:divBdr>
            <w:top w:val="none" w:sz="0" w:space="0" w:color="auto"/>
            <w:left w:val="none" w:sz="0" w:space="0" w:color="auto"/>
            <w:bottom w:val="none" w:sz="0" w:space="0" w:color="auto"/>
            <w:right w:val="none" w:sz="0" w:space="0" w:color="auto"/>
          </w:divBdr>
        </w:div>
        <w:div w:id="1461877843">
          <w:marLeft w:val="0"/>
          <w:marRight w:val="0"/>
          <w:marTop w:val="0"/>
          <w:marBottom w:val="0"/>
          <w:divBdr>
            <w:top w:val="none" w:sz="0" w:space="0" w:color="auto"/>
            <w:left w:val="none" w:sz="0" w:space="0" w:color="auto"/>
            <w:bottom w:val="none" w:sz="0" w:space="0" w:color="auto"/>
            <w:right w:val="none" w:sz="0" w:space="0" w:color="auto"/>
          </w:divBdr>
        </w:div>
        <w:div w:id="1495339790">
          <w:marLeft w:val="0"/>
          <w:marRight w:val="0"/>
          <w:marTop w:val="0"/>
          <w:marBottom w:val="0"/>
          <w:divBdr>
            <w:top w:val="none" w:sz="0" w:space="0" w:color="auto"/>
            <w:left w:val="none" w:sz="0" w:space="0" w:color="auto"/>
            <w:bottom w:val="none" w:sz="0" w:space="0" w:color="auto"/>
            <w:right w:val="none" w:sz="0" w:space="0" w:color="auto"/>
          </w:divBdr>
        </w:div>
        <w:div w:id="1500802597">
          <w:marLeft w:val="0"/>
          <w:marRight w:val="0"/>
          <w:marTop w:val="0"/>
          <w:marBottom w:val="0"/>
          <w:divBdr>
            <w:top w:val="none" w:sz="0" w:space="0" w:color="auto"/>
            <w:left w:val="none" w:sz="0" w:space="0" w:color="auto"/>
            <w:bottom w:val="none" w:sz="0" w:space="0" w:color="auto"/>
            <w:right w:val="none" w:sz="0" w:space="0" w:color="auto"/>
          </w:divBdr>
        </w:div>
        <w:div w:id="1621841645">
          <w:marLeft w:val="0"/>
          <w:marRight w:val="0"/>
          <w:marTop w:val="0"/>
          <w:marBottom w:val="0"/>
          <w:divBdr>
            <w:top w:val="none" w:sz="0" w:space="0" w:color="auto"/>
            <w:left w:val="none" w:sz="0" w:space="0" w:color="auto"/>
            <w:bottom w:val="none" w:sz="0" w:space="0" w:color="auto"/>
            <w:right w:val="none" w:sz="0" w:space="0" w:color="auto"/>
          </w:divBdr>
        </w:div>
        <w:div w:id="1625038496">
          <w:marLeft w:val="0"/>
          <w:marRight w:val="0"/>
          <w:marTop w:val="0"/>
          <w:marBottom w:val="0"/>
          <w:divBdr>
            <w:top w:val="none" w:sz="0" w:space="0" w:color="auto"/>
            <w:left w:val="none" w:sz="0" w:space="0" w:color="auto"/>
            <w:bottom w:val="none" w:sz="0" w:space="0" w:color="auto"/>
            <w:right w:val="none" w:sz="0" w:space="0" w:color="auto"/>
          </w:divBdr>
        </w:div>
      </w:divsChild>
    </w:div>
    <w:div w:id="593628856">
      <w:bodyDiv w:val="1"/>
      <w:marLeft w:val="0"/>
      <w:marRight w:val="0"/>
      <w:marTop w:val="0"/>
      <w:marBottom w:val="0"/>
      <w:divBdr>
        <w:top w:val="none" w:sz="0" w:space="0" w:color="auto"/>
        <w:left w:val="none" w:sz="0" w:space="0" w:color="auto"/>
        <w:bottom w:val="none" w:sz="0" w:space="0" w:color="auto"/>
        <w:right w:val="none" w:sz="0" w:space="0" w:color="auto"/>
      </w:divBdr>
    </w:div>
    <w:div w:id="623196700">
      <w:bodyDiv w:val="1"/>
      <w:marLeft w:val="0"/>
      <w:marRight w:val="0"/>
      <w:marTop w:val="0"/>
      <w:marBottom w:val="0"/>
      <w:divBdr>
        <w:top w:val="none" w:sz="0" w:space="0" w:color="auto"/>
        <w:left w:val="none" w:sz="0" w:space="0" w:color="auto"/>
        <w:bottom w:val="none" w:sz="0" w:space="0" w:color="auto"/>
        <w:right w:val="none" w:sz="0" w:space="0" w:color="auto"/>
      </w:divBdr>
    </w:div>
    <w:div w:id="629242136">
      <w:bodyDiv w:val="1"/>
      <w:marLeft w:val="0"/>
      <w:marRight w:val="0"/>
      <w:marTop w:val="0"/>
      <w:marBottom w:val="0"/>
      <w:divBdr>
        <w:top w:val="none" w:sz="0" w:space="0" w:color="auto"/>
        <w:left w:val="none" w:sz="0" w:space="0" w:color="auto"/>
        <w:bottom w:val="none" w:sz="0" w:space="0" w:color="auto"/>
        <w:right w:val="none" w:sz="0" w:space="0" w:color="auto"/>
      </w:divBdr>
      <w:divsChild>
        <w:div w:id="13770418">
          <w:marLeft w:val="0"/>
          <w:marRight w:val="0"/>
          <w:marTop w:val="0"/>
          <w:marBottom w:val="0"/>
          <w:divBdr>
            <w:top w:val="none" w:sz="0" w:space="0" w:color="auto"/>
            <w:left w:val="none" w:sz="0" w:space="0" w:color="auto"/>
            <w:bottom w:val="none" w:sz="0" w:space="0" w:color="auto"/>
            <w:right w:val="none" w:sz="0" w:space="0" w:color="auto"/>
          </w:divBdr>
        </w:div>
        <w:div w:id="65424882">
          <w:marLeft w:val="0"/>
          <w:marRight w:val="0"/>
          <w:marTop w:val="0"/>
          <w:marBottom w:val="0"/>
          <w:divBdr>
            <w:top w:val="none" w:sz="0" w:space="0" w:color="auto"/>
            <w:left w:val="none" w:sz="0" w:space="0" w:color="auto"/>
            <w:bottom w:val="none" w:sz="0" w:space="0" w:color="auto"/>
            <w:right w:val="none" w:sz="0" w:space="0" w:color="auto"/>
          </w:divBdr>
        </w:div>
        <w:div w:id="102381458">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106196646">
          <w:marLeft w:val="0"/>
          <w:marRight w:val="0"/>
          <w:marTop w:val="0"/>
          <w:marBottom w:val="0"/>
          <w:divBdr>
            <w:top w:val="none" w:sz="0" w:space="0" w:color="auto"/>
            <w:left w:val="none" w:sz="0" w:space="0" w:color="auto"/>
            <w:bottom w:val="none" w:sz="0" w:space="0" w:color="auto"/>
            <w:right w:val="none" w:sz="0" w:space="0" w:color="auto"/>
          </w:divBdr>
        </w:div>
        <w:div w:id="289752225">
          <w:marLeft w:val="0"/>
          <w:marRight w:val="0"/>
          <w:marTop w:val="0"/>
          <w:marBottom w:val="0"/>
          <w:divBdr>
            <w:top w:val="none" w:sz="0" w:space="0" w:color="auto"/>
            <w:left w:val="none" w:sz="0" w:space="0" w:color="auto"/>
            <w:bottom w:val="none" w:sz="0" w:space="0" w:color="auto"/>
            <w:right w:val="none" w:sz="0" w:space="0" w:color="auto"/>
          </w:divBdr>
        </w:div>
        <w:div w:id="353919931">
          <w:marLeft w:val="0"/>
          <w:marRight w:val="0"/>
          <w:marTop w:val="0"/>
          <w:marBottom w:val="0"/>
          <w:divBdr>
            <w:top w:val="none" w:sz="0" w:space="0" w:color="auto"/>
            <w:left w:val="none" w:sz="0" w:space="0" w:color="auto"/>
            <w:bottom w:val="none" w:sz="0" w:space="0" w:color="auto"/>
            <w:right w:val="none" w:sz="0" w:space="0" w:color="auto"/>
          </w:divBdr>
        </w:div>
        <w:div w:id="396322773">
          <w:marLeft w:val="0"/>
          <w:marRight w:val="0"/>
          <w:marTop w:val="0"/>
          <w:marBottom w:val="0"/>
          <w:divBdr>
            <w:top w:val="none" w:sz="0" w:space="0" w:color="auto"/>
            <w:left w:val="none" w:sz="0" w:space="0" w:color="auto"/>
            <w:bottom w:val="none" w:sz="0" w:space="0" w:color="auto"/>
            <w:right w:val="none" w:sz="0" w:space="0" w:color="auto"/>
          </w:divBdr>
        </w:div>
        <w:div w:id="590771995">
          <w:marLeft w:val="0"/>
          <w:marRight w:val="0"/>
          <w:marTop w:val="0"/>
          <w:marBottom w:val="0"/>
          <w:divBdr>
            <w:top w:val="none" w:sz="0" w:space="0" w:color="auto"/>
            <w:left w:val="none" w:sz="0" w:space="0" w:color="auto"/>
            <w:bottom w:val="none" w:sz="0" w:space="0" w:color="auto"/>
            <w:right w:val="none" w:sz="0" w:space="0" w:color="auto"/>
          </w:divBdr>
        </w:div>
        <w:div w:id="642855173">
          <w:marLeft w:val="0"/>
          <w:marRight w:val="0"/>
          <w:marTop w:val="0"/>
          <w:marBottom w:val="0"/>
          <w:divBdr>
            <w:top w:val="none" w:sz="0" w:space="0" w:color="auto"/>
            <w:left w:val="none" w:sz="0" w:space="0" w:color="auto"/>
            <w:bottom w:val="none" w:sz="0" w:space="0" w:color="auto"/>
            <w:right w:val="none" w:sz="0" w:space="0" w:color="auto"/>
          </w:divBdr>
        </w:div>
        <w:div w:id="683826240">
          <w:marLeft w:val="0"/>
          <w:marRight w:val="0"/>
          <w:marTop w:val="0"/>
          <w:marBottom w:val="0"/>
          <w:divBdr>
            <w:top w:val="none" w:sz="0" w:space="0" w:color="auto"/>
            <w:left w:val="none" w:sz="0" w:space="0" w:color="auto"/>
            <w:bottom w:val="none" w:sz="0" w:space="0" w:color="auto"/>
            <w:right w:val="none" w:sz="0" w:space="0" w:color="auto"/>
          </w:divBdr>
        </w:div>
        <w:div w:id="741291387">
          <w:marLeft w:val="0"/>
          <w:marRight w:val="0"/>
          <w:marTop w:val="0"/>
          <w:marBottom w:val="0"/>
          <w:divBdr>
            <w:top w:val="none" w:sz="0" w:space="0" w:color="auto"/>
            <w:left w:val="none" w:sz="0" w:space="0" w:color="auto"/>
            <w:bottom w:val="none" w:sz="0" w:space="0" w:color="auto"/>
            <w:right w:val="none" w:sz="0" w:space="0" w:color="auto"/>
          </w:divBdr>
        </w:div>
        <w:div w:id="759645312">
          <w:marLeft w:val="0"/>
          <w:marRight w:val="0"/>
          <w:marTop w:val="0"/>
          <w:marBottom w:val="0"/>
          <w:divBdr>
            <w:top w:val="none" w:sz="0" w:space="0" w:color="auto"/>
            <w:left w:val="none" w:sz="0" w:space="0" w:color="auto"/>
            <w:bottom w:val="none" w:sz="0" w:space="0" w:color="auto"/>
            <w:right w:val="none" w:sz="0" w:space="0" w:color="auto"/>
          </w:divBdr>
        </w:div>
        <w:div w:id="893472337">
          <w:marLeft w:val="0"/>
          <w:marRight w:val="0"/>
          <w:marTop w:val="0"/>
          <w:marBottom w:val="0"/>
          <w:divBdr>
            <w:top w:val="none" w:sz="0" w:space="0" w:color="auto"/>
            <w:left w:val="none" w:sz="0" w:space="0" w:color="auto"/>
            <w:bottom w:val="none" w:sz="0" w:space="0" w:color="auto"/>
            <w:right w:val="none" w:sz="0" w:space="0" w:color="auto"/>
          </w:divBdr>
        </w:div>
        <w:div w:id="973171024">
          <w:marLeft w:val="0"/>
          <w:marRight w:val="0"/>
          <w:marTop w:val="0"/>
          <w:marBottom w:val="0"/>
          <w:divBdr>
            <w:top w:val="none" w:sz="0" w:space="0" w:color="auto"/>
            <w:left w:val="none" w:sz="0" w:space="0" w:color="auto"/>
            <w:bottom w:val="none" w:sz="0" w:space="0" w:color="auto"/>
            <w:right w:val="none" w:sz="0" w:space="0" w:color="auto"/>
          </w:divBdr>
        </w:div>
        <w:div w:id="993995979">
          <w:marLeft w:val="0"/>
          <w:marRight w:val="0"/>
          <w:marTop w:val="0"/>
          <w:marBottom w:val="0"/>
          <w:divBdr>
            <w:top w:val="none" w:sz="0" w:space="0" w:color="auto"/>
            <w:left w:val="none" w:sz="0" w:space="0" w:color="auto"/>
            <w:bottom w:val="none" w:sz="0" w:space="0" w:color="auto"/>
            <w:right w:val="none" w:sz="0" w:space="0" w:color="auto"/>
          </w:divBdr>
        </w:div>
        <w:div w:id="1019546001">
          <w:marLeft w:val="0"/>
          <w:marRight w:val="0"/>
          <w:marTop w:val="0"/>
          <w:marBottom w:val="0"/>
          <w:divBdr>
            <w:top w:val="none" w:sz="0" w:space="0" w:color="auto"/>
            <w:left w:val="none" w:sz="0" w:space="0" w:color="auto"/>
            <w:bottom w:val="none" w:sz="0" w:space="0" w:color="auto"/>
            <w:right w:val="none" w:sz="0" w:space="0" w:color="auto"/>
          </w:divBdr>
        </w:div>
        <w:div w:id="1075979306">
          <w:marLeft w:val="0"/>
          <w:marRight w:val="0"/>
          <w:marTop w:val="0"/>
          <w:marBottom w:val="0"/>
          <w:divBdr>
            <w:top w:val="none" w:sz="0" w:space="0" w:color="auto"/>
            <w:left w:val="none" w:sz="0" w:space="0" w:color="auto"/>
            <w:bottom w:val="none" w:sz="0" w:space="0" w:color="auto"/>
            <w:right w:val="none" w:sz="0" w:space="0" w:color="auto"/>
          </w:divBdr>
        </w:div>
        <w:div w:id="1093891749">
          <w:marLeft w:val="0"/>
          <w:marRight w:val="0"/>
          <w:marTop w:val="0"/>
          <w:marBottom w:val="0"/>
          <w:divBdr>
            <w:top w:val="none" w:sz="0" w:space="0" w:color="auto"/>
            <w:left w:val="none" w:sz="0" w:space="0" w:color="auto"/>
            <w:bottom w:val="none" w:sz="0" w:space="0" w:color="auto"/>
            <w:right w:val="none" w:sz="0" w:space="0" w:color="auto"/>
          </w:divBdr>
        </w:div>
        <w:div w:id="1190559675">
          <w:marLeft w:val="0"/>
          <w:marRight w:val="0"/>
          <w:marTop w:val="0"/>
          <w:marBottom w:val="0"/>
          <w:divBdr>
            <w:top w:val="none" w:sz="0" w:space="0" w:color="auto"/>
            <w:left w:val="none" w:sz="0" w:space="0" w:color="auto"/>
            <w:bottom w:val="none" w:sz="0" w:space="0" w:color="auto"/>
            <w:right w:val="none" w:sz="0" w:space="0" w:color="auto"/>
          </w:divBdr>
        </w:div>
        <w:div w:id="1277568248">
          <w:marLeft w:val="0"/>
          <w:marRight w:val="0"/>
          <w:marTop w:val="0"/>
          <w:marBottom w:val="0"/>
          <w:divBdr>
            <w:top w:val="none" w:sz="0" w:space="0" w:color="auto"/>
            <w:left w:val="none" w:sz="0" w:space="0" w:color="auto"/>
            <w:bottom w:val="none" w:sz="0" w:space="0" w:color="auto"/>
            <w:right w:val="none" w:sz="0" w:space="0" w:color="auto"/>
          </w:divBdr>
        </w:div>
        <w:div w:id="1284921225">
          <w:marLeft w:val="0"/>
          <w:marRight w:val="0"/>
          <w:marTop w:val="0"/>
          <w:marBottom w:val="0"/>
          <w:divBdr>
            <w:top w:val="none" w:sz="0" w:space="0" w:color="auto"/>
            <w:left w:val="none" w:sz="0" w:space="0" w:color="auto"/>
            <w:bottom w:val="none" w:sz="0" w:space="0" w:color="auto"/>
            <w:right w:val="none" w:sz="0" w:space="0" w:color="auto"/>
          </w:divBdr>
        </w:div>
        <w:div w:id="1309555204">
          <w:marLeft w:val="0"/>
          <w:marRight w:val="0"/>
          <w:marTop w:val="0"/>
          <w:marBottom w:val="0"/>
          <w:divBdr>
            <w:top w:val="none" w:sz="0" w:space="0" w:color="auto"/>
            <w:left w:val="none" w:sz="0" w:space="0" w:color="auto"/>
            <w:bottom w:val="none" w:sz="0" w:space="0" w:color="auto"/>
            <w:right w:val="none" w:sz="0" w:space="0" w:color="auto"/>
          </w:divBdr>
        </w:div>
        <w:div w:id="1311983369">
          <w:marLeft w:val="0"/>
          <w:marRight w:val="0"/>
          <w:marTop w:val="0"/>
          <w:marBottom w:val="0"/>
          <w:divBdr>
            <w:top w:val="none" w:sz="0" w:space="0" w:color="auto"/>
            <w:left w:val="none" w:sz="0" w:space="0" w:color="auto"/>
            <w:bottom w:val="none" w:sz="0" w:space="0" w:color="auto"/>
            <w:right w:val="none" w:sz="0" w:space="0" w:color="auto"/>
          </w:divBdr>
        </w:div>
        <w:div w:id="1333024740">
          <w:marLeft w:val="0"/>
          <w:marRight w:val="0"/>
          <w:marTop w:val="0"/>
          <w:marBottom w:val="0"/>
          <w:divBdr>
            <w:top w:val="none" w:sz="0" w:space="0" w:color="auto"/>
            <w:left w:val="none" w:sz="0" w:space="0" w:color="auto"/>
            <w:bottom w:val="none" w:sz="0" w:space="0" w:color="auto"/>
            <w:right w:val="none" w:sz="0" w:space="0" w:color="auto"/>
          </w:divBdr>
        </w:div>
        <w:div w:id="1346521472">
          <w:marLeft w:val="0"/>
          <w:marRight w:val="0"/>
          <w:marTop w:val="0"/>
          <w:marBottom w:val="0"/>
          <w:divBdr>
            <w:top w:val="none" w:sz="0" w:space="0" w:color="auto"/>
            <w:left w:val="none" w:sz="0" w:space="0" w:color="auto"/>
            <w:bottom w:val="none" w:sz="0" w:space="0" w:color="auto"/>
            <w:right w:val="none" w:sz="0" w:space="0" w:color="auto"/>
          </w:divBdr>
        </w:div>
        <w:div w:id="1353798901">
          <w:marLeft w:val="0"/>
          <w:marRight w:val="0"/>
          <w:marTop w:val="0"/>
          <w:marBottom w:val="0"/>
          <w:divBdr>
            <w:top w:val="none" w:sz="0" w:space="0" w:color="auto"/>
            <w:left w:val="none" w:sz="0" w:space="0" w:color="auto"/>
            <w:bottom w:val="none" w:sz="0" w:space="0" w:color="auto"/>
            <w:right w:val="none" w:sz="0" w:space="0" w:color="auto"/>
          </w:divBdr>
        </w:div>
        <w:div w:id="1355691977">
          <w:marLeft w:val="0"/>
          <w:marRight w:val="0"/>
          <w:marTop w:val="0"/>
          <w:marBottom w:val="0"/>
          <w:divBdr>
            <w:top w:val="none" w:sz="0" w:space="0" w:color="auto"/>
            <w:left w:val="none" w:sz="0" w:space="0" w:color="auto"/>
            <w:bottom w:val="none" w:sz="0" w:space="0" w:color="auto"/>
            <w:right w:val="none" w:sz="0" w:space="0" w:color="auto"/>
          </w:divBdr>
        </w:div>
        <w:div w:id="1364401518">
          <w:marLeft w:val="0"/>
          <w:marRight w:val="0"/>
          <w:marTop w:val="0"/>
          <w:marBottom w:val="0"/>
          <w:divBdr>
            <w:top w:val="none" w:sz="0" w:space="0" w:color="auto"/>
            <w:left w:val="none" w:sz="0" w:space="0" w:color="auto"/>
            <w:bottom w:val="none" w:sz="0" w:space="0" w:color="auto"/>
            <w:right w:val="none" w:sz="0" w:space="0" w:color="auto"/>
          </w:divBdr>
        </w:div>
        <w:div w:id="1391461626">
          <w:marLeft w:val="0"/>
          <w:marRight w:val="0"/>
          <w:marTop w:val="0"/>
          <w:marBottom w:val="0"/>
          <w:divBdr>
            <w:top w:val="none" w:sz="0" w:space="0" w:color="auto"/>
            <w:left w:val="none" w:sz="0" w:space="0" w:color="auto"/>
            <w:bottom w:val="none" w:sz="0" w:space="0" w:color="auto"/>
            <w:right w:val="none" w:sz="0" w:space="0" w:color="auto"/>
          </w:divBdr>
        </w:div>
        <w:div w:id="1428387066">
          <w:marLeft w:val="0"/>
          <w:marRight w:val="0"/>
          <w:marTop w:val="0"/>
          <w:marBottom w:val="0"/>
          <w:divBdr>
            <w:top w:val="none" w:sz="0" w:space="0" w:color="auto"/>
            <w:left w:val="none" w:sz="0" w:space="0" w:color="auto"/>
            <w:bottom w:val="none" w:sz="0" w:space="0" w:color="auto"/>
            <w:right w:val="none" w:sz="0" w:space="0" w:color="auto"/>
          </w:divBdr>
        </w:div>
        <w:div w:id="1506557841">
          <w:marLeft w:val="0"/>
          <w:marRight w:val="0"/>
          <w:marTop w:val="0"/>
          <w:marBottom w:val="0"/>
          <w:divBdr>
            <w:top w:val="none" w:sz="0" w:space="0" w:color="auto"/>
            <w:left w:val="none" w:sz="0" w:space="0" w:color="auto"/>
            <w:bottom w:val="none" w:sz="0" w:space="0" w:color="auto"/>
            <w:right w:val="none" w:sz="0" w:space="0" w:color="auto"/>
          </w:divBdr>
        </w:div>
        <w:div w:id="1653212005">
          <w:marLeft w:val="0"/>
          <w:marRight w:val="0"/>
          <w:marTop w:val="0"/>
          <w:marBottom w:val="0"/>
          <w:divBdr>
            <w:top w:val="none" w:sz="0" w:space="0" w:color="auto"/>
            <w:left w:val="none" w:sz="0" w:space="0" w:color="auto"/>
            <w:bottom w:val="none" w:sz="0" w:space="0" w:color="auto"/>
            <w:right w:val="none" w:sz="0" w:space="0" w:color="auto"/>
          </w:divBdr>
        </w:div>
        <w:div w:id="1665015799">
          <w:marLeft w:val="0"/>
          <w:marRight w:val="0"/>
          <w:marTop w:val="0"/>
          <w:marBottom w:val="0"/>
          <w:divBdr>
            <w:top w:val="none" w:sz="0" w:space="0" w:color="auto"/>
            <w:left w:val="none" w:sz="0" w:space="0" w:color="auto"/>
            <w:bottom w:val="none" w:sz="0" w:space="0" w:color="auto"/>
            <w:right w:val="none" w:sz="0" w:space="0" w:color="auto"/>
          </w:divBdr>
        </w:div>
        <w:div w:id="1721248662">
          <w:marLeft w:val="0"/>
          <w:marRight w:val="0"/>
          <w:marTop w:val="0"/>
          <w:marBottom w:val="0"/>
          <w:divBdr>
            <w:top w:val="none" w:sz="0" w:space="0" w:color="auto"/>
            <w:left w:val="none" w:sz="0" w:space="0" w:color="auto"/>
            <w:bottom w:val="none" w:sz="0" w:space="0" w:color="auto"/>
            <w:right w:val="none" w:sz="0" w:space="0" w:color="auto"/>
          </w:divBdr>
        </w:div>
        <w:div w:id="1826579683">
          <w:marLeft w:val="0"/>
          <w:marRight w:val="0"/>
          <w:marTop w:val="0"/>
          <w:marBottom w:val="0"/>
          <w:divBdr>
            <w:top w:val="none" w:sz="0" w:space="0" w:color="auto"/>
            <w:left w:val="none" w:sz="0" w:space="0" w:color="auto"/>
            <w:bottom w:val="none" w:sz="0" w:space="0" w:color="auto"/>
            <w:right w:val="none" w:sz="0" w:space="0" w:color="auto"/>
          </w:divBdr>
        </w:div>
        <w:div w:id="1830559458">
          <w:marLeft w:val="0"/>
          <w:marRight w:val="0"/>
          <w:marTop w:val="0"/>
          <w:marBottom w:val="0"/>
          <w:divBdr>
            <w:top w:val="none" w:sz="0" w:space="0" w:color="auto"/>
            <w:left w:val="none" w:sz="0" w:space="0" w:color="auto"/>
            <w:bottom w:val="none" w:sz="0" w:space="0" w:color="auto"/>
            <w:right w:val="none" w:sz="0" w:space="0" w:color="auto"/>
          </w:divBdr>
        </w:div>
        <w:div w:id="1839349874">
          <w:marLeft w:val="0"/>
          <w:marRight w:val="0"/>
          <w:marTop w:val="0"/>
          <w:marBottom w:val="0"/>
          <w:divBdr>
            <w:top w:val="none" w:sz="0" w:space="0" w:color="auto"/>
            <w:left w:val="none" w:sz="0" w:space="0" w:color="auto"/>
            <w:bottom w:val="none" w:sz="0" w:space="0" w:color="auto"/>
            <w:right w:val="none" w:sz="0" w:space="0" w:color="auto"/>
          </w:divBdr>
        </w:div>
        <w:div w:id="1855877597">
          <w:marLeft w:val="0"/>
          <w:marRight w:val="0"/>
          <w:marTop w:val="0"/>
          <w:marBottom w:val="0"/>
          <w:divBdr>
            <w:top w:val="none" w:sz="0" w:space="0" w:color="auto"/>
            <w:left w:val="none" w:sz="0" w:space="0" w:color="auto"/>
            <w:bottom w:val="none" w:sz="0" w:space="0" w:color="auto"/>
            <w:right w:val="none" w:sz="0" w:space="0" w:color="auto"/>
          </w:divBdr>
        </w:div>
        <w:div w:id="1885479657">
          <w:marLeft w:val="0"/>
          <w:marRight w:val="0"/>
          <w:marTop w:val="0"/>
          <w:marBottom w:val="0"/>
          <w:divBdr>
            <w:top w:val="none" w:sz="0" w:space="0" w:color="auto"/>
            <w:left w:val="none" w:sz="0" w:space="0" w:color="auto"/>
            <w:bottom w:val="none" w:sz="0" w:space="0" w:color="auto"/>
            <w:right w:val="none" w:sz="0" w:space="0" w:color="auto"/>
          </w:divBdr>
        </w:div>
        <w:div w:id="1939824862">
          <w:marLeft w:val="0"/>
          <w:marRight w:val="0"/>
          <w:marTop w:val="0"/>
          <w:marBottom w:val="0"/>
          <w:divBdr>
            <w:top w:val="none" w:sz="0" w:space="0" w:color="auto"/>
            <w:left w:val="none" w:sz="0" w:space="0" w:color="auto"/>
            <w:bottom w:val="none" w:sz="0" w:space="0" w:color="auto"/>
            <w:right w:val="none" w:sz="0" w:space="0" w:color="auto"/>
          </w:divBdr>
        </w:div>
        <w:div w:id="2030719159">
          <w:marLeft w:val="0"/>
          <w:marRight w:val="0"/>
          <w:marTop w:val="0"/>
          <w:marBottom w:val="0"/>
          <w:divBdr>
            <w:top w:val="none" w:sz="0" w:space="0" w:color="auto"/>
            <w:left w:val="none" w:sz="0" w:space="0" w:color="auto"/>
            <w:bottom w:val="none" w:sz="0" w:space="0" w:color="auto"/>
            <w:right w:val="none" w:sz="0" w:space="0" w:color="auto"/>
          </w:divBdr>
        </w:div>
        <w:div w:id="2113544363">
          <w:marLeft w:val="0"/>
          <w:marRight w:val="0"/>
          <w:marTop w:val="0"/>
          <w:marBottom w:val="0"/>
          <w:divBdr>
            <w:top w:val="none" w:sz="0" w:space="0" w:color="auto"/>
            <w:left w:val="none" w:sz="0" w:space="0" w:color="auto"/>
            <w:bottom w:val="none" w:sz="0" w:space="0" w:color="auto"/>
            <w:right w:val="none" w:sz="0" w:space="0" w:color="auto"/>
          </w:divBdr>
        </w:div>
        <w:div w:id="2122676048">
          <w:marLeft w:val="0"/>
          <w:marRight w:val="0"/>
          <w:marTop w:val="0"/>
          <w:marBottom w:val="0"/>
          <w:divBdr>
            <w:top w:val="none" w:sz="0" w:space="0" w:color="auto"/>
            <w:left w:val="none" w:sz="0" w:space="0" w:color="auto"/>
            <w:bottom w:val="none" w:sz="0" w:space="0" w:color="auto"/>
            <w:right w:val="none" w:sz="0" w:space="0" w:color="auto"/>
          </w:divBdr>
        </w:div>
      </w:divsChild>
    </w:div>
    <w:div w:id="680469331">
      <w:bodyDiv w:val="1"/>
      <w:marLeft w:val="0"/>
      <w:marRight w:val="0"/>
      <w:marTop w:val="0"/>
      <w:marBottom w:val="0"/>
      <w:divBdr>
        <w:top w:val="none" w:sz="0" w:space="0" w:color="auto"/>
        <w:left w:val="none" w:sz="0" w:space="0" w:color="auto"/>
        <w:bottom w:val="none" w:sz="0" w:space="0" w:color="auto"/>
        <w:right w:val="none" w:sz="0" w:space="0" w:color="auto"/>
      </w:divBdr>
    </w:div>
    <w:div w:id="684677190">
      <w:bodyDiv w:val="1"/>
      <w:marLeft w:val="0"/>
      <w:marRight w:val="0"/>
      <w:marTop w:val="0"/>
      <w:marBottom w:val="0"/>
      <w:divBdr>
        <w:top w:val="none" w:sz="0" w:space="0" w:color="auto"/>
        <w:left w:val="none" w:sz="0" w:space="0" w:color="auto"/>
        <w:bottom w:val="none" w:sz="0" w:space="0" w:color="auto"/>
        <w:right w:val="none" w:sz="0" w:space="0" w:color="auto"/>
      </w:divBdr>
      <w:divsChild>
        <w:div w:id="19355237">
          <w:marLeft w:val="0"/>
          <w:marRight w:val="0"/>
          <w:marTop w:val="0"/>
          <w:marBottom w:val="0"/>
          <w:divBdr>
            <w:top w:val="none" w:sz="0" w:space="0" w:color="auto"/>
            <w:left w:val="none" w:sz="0" w:space="0" w:color="auto"/>
            <w:bottom w:val="none" w:sz="0" w:space="0" w:color="auto"/>
            <w:right w:val="none" w:sz="0" w:space="0" w:color="auto"/>
          </w:divBdr>
        </w:div>
        <w:div w:id="29646261">
          <w:marLeft w:val="0"/>
          <w:marRight w:val="0"/>
          <w:marTop w:val="0"/>
          <w:marBottom w:val="0"/>
          <w:divBdr>
            <w:top w:val="none" w:sz="0" w:space="0" w:color="auto"/>
            <w:left w:val="none" w:sz="0" w:space="0" w:color="auto"/>
            <w:bottom w:val="none" w:sz="0" w:space="0" w:color="auto"/>
            <w:right w:val="none" w:sz="0" w:space="0" w:color="auto"/>
          </w:divBdr>
        </w:div>
        <w:div w:id="124855286">
          <w:marLeft w:val="0"/>
          <w:marRight w:val="0"/>
          <w:marTop w:val="0"/>
          <w:marBottom w:val="0"/>
          <w:divBdr>
            <w:top w:val="none" w:sz="0" w:space="0" w:color="auto"/>
            <w:left w:val="none" w:sz="0" w:space="0" w:color="auto"/>
            <w:bottom w:val="none" w:sz="0" w:space="0" w:color="auto"/>
            <w:right w:val="none" w:sz="0" w:space="0" w:color="auto"/>
          </w:divBdr>
        </w:div>
        <w:div w:id="146408146">
          <w:marLeft w:val="0"/>
          <w:marRight w:val="0"/>
          <w:marTop w:val="0"/>
          <w:marBottom w:val="0"/>
          <w:divBdr>
            <w:top w:val="none" w:sz="0" w:space="0" w:color="auto"/>
            <w:left w:val="none" w:sz="0" w:space="0" w:color="auto"/>
            <w:bottom w:val="none" w:sz="0" w:space="0" w:color="auto"/>
            <w:right w:val="none" w:sz="0" w:space="0" w:color="auto"/>
          </w:divBdr>
        </w:div>
        <w:div w:id="470901659">
          <w:marLeft w:val="0"/>
          <w:marRight w:val="0"/>
          <w:marTop w:val="0"/>
          <w:marBottom w:val="0"/>
          <w:divBdr>
            <w:top w:val="none" w:sz="0" w:space="0" w:color="auto"/>
            <w:left w:val="none" w:sz="0" w:space="0" w:color="auto"/>
            <w:bottom w:val="none" w:sz="0" w:space="0" w:color="auto"/>
            <w:right w:val="none" w:sz="0" w:space="0" w:color="auto"/>
          </w:divBdr>
        </w:div>
        <w:div w:id="530799119">
          <w:marLeft w:val="0"/>
          <w:marRight w:val="0"/>
          <w:marTop w:val="0"/>
          <w:marBottom w:val="0"/>
          <w:divBdr>
            <w:top w:val="none" w:sz="0" w:space="0" w:color="auto"/>
            <w:left w:val="none" w:sz="0" w:space="0" w:color="auto"/>
            <w:bottom w:val="none" w:sz="0" w:space="0" w:color="auto"/>
            <w:right w:val="none" w:sz="0" w:space="0" w:color="auto"/>
          </w:divBdr>
        </w:div>
        <w:div w:id="592668741">
          <w:marLeft w:val="0"/>
          <w:marRight w:val="0"/>
          <w:marTop w:val="0"/>
          <w:marBottom w:val="0"/>
          <w:divBdr>
            <w:top w:val="none" w:sz="0" w:space="0" w:color="auto"/>
            <w:left w:val="none" w:sz="0" w:space="0" w:color="auto"/>
            <w:bottom w:val="none" w:sz="0" w:space="0" w:color="auto"/>
            <w:right w:val="none" w:sz="0" w:space="0" w:color="auto"/>
          </w:divBdr>
        </w:div>
        <w:div w:id="600991215">
          <w:marLeft w:val="0"/>
          <w:marRight w:val="0"/>
          <w:marTop w:val="0"/>
          <w:marBottom w:val="0"/>
          <w:divBdr>
            <w:top w:val="none" w:sz="0" w:space="0" w:color="auto"/>
            <w:left w:val="none" w:sz="0" w:space="0" w:color="auto"/>
            <w:bottom w:val="none" w:sz="0" w:space="0" w:color="auto"/>
            <w:right w:val="none" w:sz="0" w:space="0" w:color="auto"/>
          </w:divBdr>
        </w:div>
        <w:div w:id="611742820">
          <w:marLeft w:val="0"/>
          <w:marRight w:val="0"/>
          <w:marTop w:val="0"/>
          <w:marBottom w:val="0"/>
          <w:divBdr>
            <w:top w:val="none" w:sz="0" w:space="0" w:color="auto"/>
            <w:left w:val="none" w:sz="0" w:space="0" w:color="auto"/>
            <w:bottom w:val="none" w:sz="0" w:space="0" w:color="auto"/>
            <w:right w:val="none" w:sz="0" w:space="0" w:color="auto"/>
          </w:divBdr>
        </w:div>
        <w:div w:id="614480126">
          <w:marLeft w:val="0"/>
          <w:marRight w:val="0"/>
          <w:marTop w:val="0"/>
          <w:marBottom w:val="0"/>
          <w:divBdr>
            <w:top w:val="none" w:sz="0" w:space="0" w:color="auto"/>
            <w:left w:val="none" w:sz="0" w:space="0" w:color="auto"/>
            <w:bottom w:val="none" w:sz="0" w:space="0" w:color="auto"/>
            <w:right w:val="none" w:sz="0" w:space="0" w:color="auto"/>
          </w:divBdr>
        </w:div>
        <w:div w:id="630942476">
          <w:marLeft w:val="0"/>
          <w:marRight w:val="0"/>
          <w:marTop w:val="0"/>
          <w:marBottom w:val="0"/>
          <w:divBdr>
            <w:top w:val="none" w:sz="0" w:space="0" w:color="auto"/>
            <w:left w:val="none" w:sz="0" w:space="0" w:color="auto"/>
            <w:bottom w:val="none" w:sz="0" w:space="0" w:color="auto"/>
            <w:right w:val="none" w:sz="0" w:space="0" w:color="auto"/>
          </w:divBdr>
        </w:div>
        <w:div w:id="680280242">
          <w:marLeft w:val="0"/>
          <w:marRight w:val="0"/>
          <w:marTop w:val="0"/>
          <w:marBottom w:val="0"/>
          <w:divBdr>
            <w:top w:val="none" w:sz="0" w:space="0" w:color="auto"/>
            <w:left w:val="none" w:sz="0" w:space="0" w:color="auto"/>
            <w:bottom w:val="none" w:sz="0" w:space="0" w:color="auto"/>
            <w:right w:val="none" w:sz="0" w:space="0" w:color="auto"/>
          </w:divBdr>
        </w:div>
        <w:div w:id="1012338457">
          <w:marLeft w:val="0"/>
          <w:marRight w:val="0"/>
          <w:marTop w:val="0"/>
          <w:marBottom w:val="0"/>
          <w:divBdr>
            <w:top w:val="none" w:sz="0" w:space="0" w:color="auto"/>
            <w:left w:val="none" w:sz="0" w:space="0" w:color="auto"/>
            <w:bottom w:val="none" w:sz="0" w:space="0" w:color="auto"/>
            <w:right w:val="none" w:sz="0" w:space="0" w:color="auto"/>
          </w:divBdr>
        </w:div>
        <w:div w:id="1067995874">
          <w:marLeft w:val="0"/>
          <w:marRight w:val="0"/>
          <w:marTop w:val="0"/>
          <w:marBottom w:val="0"/>
          <w:divBdr>
            <w:top w:val="none" w:sz="0" w:space="0" w:color="auto"/>
            <w:left w:val="none" w:sz="0" w:space="0" w:color="auto"/>
            <w:bottom w:val="none" w:sz="0" w:space="0" w:color="auto"/>
            <w:right w:val="none" w:sz="0" w:space="0" w:color="auto"/>
          </w:divBdr>
        </w:div>
        <w:div w:id="1108620651">
          <w:marLeft w:val="0"/>
          <w:marRight w:val="0"/>
          <w:marTop w:val="0"/>
          <w:marBottom w:val="0"/>
          <w:divBdr>
            <w:top w:val="none" w:sz="0" w:space="0" w:color="auto"/>
            <w:left w:val="none" w:sz="0" w:space="0" w:color="auto"/>
            <w:bottom w:val="none" w:sz="0" w:space="0" w:color="auto"/>
            <w:right w:val="none" w:sz="0" w:space="0" w:color="auto"/>
          </w:divBdr>
        </w:div>
        <w:div w:id="1164780826">
          <w:marLeft w:val="0"/>
          <w:marRight w:val="0"/>
          <w:marTop w:val="0"/>
          <w:marBottom w:val="0"/>
          <w:divBdr>
            <w:top w:val="none" w:sz="0" w:space="0" w:color="auto"/>
            <w:left w:val="none" w:sz="0" w:space="0" w:color="auto"/>
            <w:bottom w:val="none" w:sz="0" w:space="0" w:color="auto"/>
            <w:right w:val="none" w:sz="0" w:space="0" w:color="auto"/>
          </w:divBdr>
        </w:div>
        <w:div w:id="1319581075">
          <w:marLeft w:val="0"/>
          <w:marRight w:val="0"/>
          <w:marTop w:val="0"/>
          <w:marBottom w:val="0"/>
          <w:divBdr>
            <w:top w:val="none" w:sz="0" w:space="0" w:color="auto"/>
            <w:left w:val="none" w:sz="0" w:space="0" w:color="auto"/>
            <w:bottom w:val="none" w:sz="0" w:space="0" w:color="auto"/>
            <w:right w:val="none" w:sz="0" w:space="0" w:color="auto"/>
          </w:divBdr>
        </w:div>
        <w:div w:id="1324160946">
          <w:marLeft w:val="0"/>
          <w:marRight w:val="0"/>
          <w:marTop w:val="0"/>
          <w:marBottom w:val="0"/>
          <w:divBdr>
            <w:top w:val="none" w:sz="0" w:space="0" w:color="auto"/>
            <w:left w:val="none" w:sz="0" w:space="0" w:color="auto"/>
            <w:bottom w:val="none" w:sz="0" w:space="0" w:color="auto"/>
            <w:right w:val="none" w:sz="0" w:space="0" w:color="auto"/>
          </w:divBdr>
        </w:div>
        <w:div w:id="1416631211">
          <w:marLeft w:val="0"/>
          <w:marRight w:val="0"/>
          <w:marTop w:val="0"/>
          <w:marBottom w:val="0"/>
          <w:divBdr>
            <w:top w:val="none" w:sz="0" w:space="0" w:color="auto"/>
            <w:left w:val="none" w:sz="0" w:space="0" w:color="auto"/>
            <w:bottom w:val="none" w:sz="0" w:space="0" w:color="auto"/>
            <w:right w:val="none" w:sz="0" w:space="0" w:color="auto"/>
          </w:divBdr>
        </w:div>
        <w:div w:id="1496458123">
          <w:marLeft w:val="0"/>
          <w:marRight w:val="0"/>
          <w:marTop w:val="0"/>
          <w:marBottom w:val="0"/>
          <w:divBdr>
            <w:top w:val="none" w:sz="0" w:space="0" w:color="auto"/>
            <w:left w:val="none" w:sz="0" w:space="0" w:color="auto"/>
            <w:bottom w:val="none" w:sz="0" w:space="0" w:color="auto"/>
            <w:right w:val="none" w:sz="0" w:space="0" w:color="auto"/>
          </w:divBdr>
        </w:div>
        <w:div w:id="1532650603">
          <w:marLeft w:val="0"/>
          <w:marRight w:val="0"/>
          <w:marTop w:val="0"/>
          <w:marBottom w:val="0"/>
          <w:divBdr>
            <w:top w:val="none" w:sz="0" w:space="0" w:color="auto"/>
            <w:left w:val="none" w:sz="0" w:space="0" w:color="auto"/>
            <w:bottom w:val="none" w:sz="0" w:space="0" w:color="auto"/>
            <w:right w:val="none" w:sz="0" w:space="0" w:color="auto"/>
          </w:divBdr>
        </w:div>
        <w:div w:id="1567643903">
          <w:marLeft w:val="0"/>
          <w:marRight w:val="0"/>
          <w:marTop w:val="0"/>
          <w:marBottom w:val="0"/>
          <w:divBdr>
            <w:top w:val="none" w:sz="0" w:space="0" w:color="auto"/>
            <w:left w:val="none" w:sz="0" w:space="0" w:color="auto"/>
            <w:bottom w:val="none" w:sz="0" w:space="0" w:color="auto"/>
            <w:right w:val="none" w:sz="0" w:space="0" w:color="auto"/>
          </w:divBdr>
        </w:div>
        <w:div w:id="1683119404">
          <w:marLeft w:val="0"/>
          <w:marRight w:val="0"/>
          <w:marTop w:val="0"/>
          <w:marBottom w:val="0"/>
          <w:divBdr>
            <w:top w:val="none" w:sz="0" w:space="0" w:color="auto"/>
            <w:left w:val="none" w:sz="0" w:space="0" w:color="auto"/>
            <w:bottom w:val="none" w:sz="0" w:space="0" w:color="auto"/>
            <w:right w:val="none" w:sz="0" w:space="0" w:color="auto"/>
          </w:divBdr>
        </w:div>
        <w:div w:id="1721200308">
          <w:marLeft w:val="0"/>
          <w:marRight w:val="0"/>
          <w:marTop w:val="0"/>
          <w:marBottom w:val="0"/>
          <w:divBdr>
            <w:top w:val="none" w:sz="0" w:space="0" w:color="auto"/>
            <w:left w:val="none" w:sz="0" w:space="0" w:color="auto"/>
            <w:bottom w:val="none" w:sz="0" w:space="0" w:color="auto"/>
            <w:right w:val="none" w:sz="0" w:space="0" w:color="auto"/>
          </w:divBdr>
        </w:div>
        <w:div w:id="1850102219">
          <w:marLeft w:val="0"/>
          <w:marRight w:val="0"/>
          <w:marTop w:val="0"/>
          <w:marBottom w:val="0"/>
          <w:divBdr>
            <w:top w:val="none" w:sz="0" w:space="0" w:color="auto"/>
            <w:left w:val="none" w:sz="0" w:space="0" w:color="auto"/>
            <w:bottom w:val="none" w:sz="0" w:space="0" w:color="auto"/>
            <w:right w:val="none" w:sz="0" w:space="0" w:color="auto"/>
          </w:divBdr>
        </w:div>
        <w:div w:id="1919167212">
          <w:marLeft w:val="0"/>
          <w:marRight w:val="0"/>
          <w:marTop w:val="0"/>
          <w:marBottom w:val="0"/>
          <w:divBdr>
            <w:top w:val="none" w:sz="0" w:space="0" w:color="auto"/>
            <w:left w:val="none" w:sz="0" w:space="0" w:color="auto"/>
            <w:bottom w:val="none" w:sz="0" w:space="0" w:color="auto"/>
            <w:right w:val="none" w:sz="0" w:space="0" w:color="auto"/>
          </w:divBdr>
        </w:div>
        <w:div w:id="1926762588">
          <w:marLeft w:val="0"/>
          <w:marRight w:val="0"/>
          <w:marTop w:val="0"/>
          <w:marBottom w:val="0"/>
          <w:divBdr>
            <w:top w:val="none" w:sz="0" w:space="0" w:color="auto"/>
            <w:left w:val="none" w:sz="0" w:space="0" w:color="auto"/>
            <w:bottom w:val="none" w:sz="0" w:space="0" w:color="auto"/>
            <w:right w:val="none" w:sz="0" w:space="0" w:color="auto"/>
          </w:divBdr>
        </w:div>
        <w:div w:id="2050909896">
          <w:marLeft w:val="0"/>
          <w:marRight w:val="0"/>
          <w:marTop w:val="0"/>
          <w:marBottom w:val="0"/>
          <w:divBdr>
            <w:top w:val="none" w:sz="0" w:space="0" w:color="auto"/>
            <w:left w:val="none" w:sz="0" w:space="0" w:color="auto"/>
            <w:bottom w:val="none" w:sz="0" w:space="0" w:color="auto"/>
            <w:right w:val="none" w:sz="0" w:space="0" w:color="auto"/>
          </w:divBdr>
        </w:div>
        <w:div w:id="2122721194">
          <w:marLeft w:val="0"/>
          <w:marRight w:val="0"/>
          <w:marTop w:val="0"/>
          <w:marBottom w:val="0"/>
          <w:divBdr>
            <w:top w:val="none" w:sz="0" w:space="0" w:color="auto"/>
            <w:left w:val="none" w:sz="0" w:space="0" w:color="auto"/>
            <w:bottom w:val="none" w:sz="0" w:space="0" w:color="auto"/>
            <w:right w:val="none" w:sz="0" w:space="0" w:color="auto"/>
          </w:divBdr>
        </w:div>
      </w:divsChild>
    </w:div>
    <w:div w:id="690451005">
      <w:bodyDiv w:val="1"/>
      <w:marLeft w:val="0"/>
      <w:marRight w:val="0"/>
      <w:marTop w:val="0"/>
      <w:marBottom w:val="0"/>
      <w:divBdr>
        <w:top w:val="none" w:sz="0" w:space="0" w:color="auto"/>
        <w:left w:val="none" w:sz="0" w:space="0" w:color="auto"/>
        <w:bottom w:val="none" w:sz="0" w:space="0" w:color="auto"/>
        <w:right w:val="none" w:sz="0" w:space="0" w:color="auto"/>
      </w:divBdr>
    </w:div>
    <w:div w:id="692731156">
      <w:bodyDiv w:val="1"/>
      <w:marLeft w:val="0"/>
      <w:marRight w:val="0"/>
      <w:marTop w:val="0"/>
      <w:marBottom w:val="0"/>
      <w:divBdr>
        <w:top w:val="none" w:sz="0" w:space="0" w:color="auto"/>
        <w:left w:val="none" w:sz="0" w:space="0" w:color="auto"/>
        <w:bottom w:val="none" w:sz="0" w:space="0" w:color="auto"/>
        <w:right w:val="none" w:sz="0" w:space="0" w:color="auto"/>
      </w:divBdr>
    </w:div>
    <w:div w:id="699205393">
      <w:bodyDiv w:val="1"/>
      <w:marLeft w:val="0"/>
      <w:marRight w:val="0"/>
      <w:marTop w:val="0"/>
      <w:marBottom w:val="0"/>
      <w:divBdr>
        <w:top w:val="none" w:sz="0" w:space="0" w:color="auto"/>
        <w:left w:val="none" w:sz="0" w:space="0" w:color="auto"/>
        <w:bottom w:val="none" w:sz="0" w:space="0" w:color="auto"/>
        <w:right w:val="none" w:sz="0" w:space="0" w:color="auto"/>
      </w:divBdr>
    </w:div>
    <w:div w:id="706873996">
      <w:bodyDiv w:val="1"/>
      <w:marLeft w:val="0"/>
      <w:marRight w:val="0"/>
      <w:marTop w:val="0"/>
      <w:marBottom w:val="0"/>
      <w:divBdr>
        <w:top w:val="none" w:sz="0" w:space="0" w:color="auto"/>
        <w:left w:val="none" w:sz="0" w:space="0" w:color="auto"/>
        <w:bottom w:val="none" w:sz="0" w:space="0" w:color="auto"/>
        <w:right w:val="none" w:sz="0" w:space="0" w:color="auto"/>
      </w:divBdr>
    </w:div>
    <w:div w:id="714239852">
      <w:bodyDiv w:val="1"/>
      <w:marLeft w:val="0"/>
      <w:marRight w:val="0"/>
      <w:marTop w:val="0"/>
      <w:marBottom w:val="0"/>
      <w:divBdr>
        <w:top w:val="none" w:sz="0" w:space="0" w:color="auto"/>
        <w:left w:val="none" w:sz="0" w:space="0" w:color="auto"/>
        <w:bottom w:val="none" w:sz="0" w:space="0" w:color="auto"/>
        <w:right w:val="none" w:sz="0" w:space="0" w:color="auto"/>
      </w:divBdr>
    </w:div>
    <w:div w:id="721366913">
      <w:bodyDiv w:val="1"/>
      <w:marLeft w:val="0"/>
      <w:marRight w:val="0"/>
      <w:marTop w:val="0"/>
      <w:marBottom w:val="0"/>
      <w:divBdr>
        <w:top w:val="none" w:sz="0" w:space="0" w:color="auto"/>
        <w:left w:val="none" w:sz="0" w:space="0" w:color="auto"/>
        <w:bottom w:val="none" w:sz="0" w:space="0" w:color="auto"/>
        <w:right w:val="none" w:sz="0" w:space="0" w:color="auto"/>
      </w:divBdr>
    </w:div>
    <w:div w:id="726489739">
      <w:bodyDiv w:val="1"/>
      <w:marLeft w:val="0"/>
      <w:marRight w:val="0"/>
      <w:marTop w:val="0"/>
      <w:marBottom w:val="0"/>
      <w:divBdr>
        <w:top w:val="none" w:sz="0" w:space="0" w:color="auto"/>
        <w:left w:val="none" w:sz="0" w:space="0" w:color="auto"/>
        <w:bottom w:val="none" w:sz="0" w:space="0" w:color="auto"/>
        <w:right w:val="none" w:sz="0" w:space="0" w:color="auto"/>
      </w:divBdr>
      <w:divsChild>
        <w:div w:id="15157242">
          <w:marLeft w:val="0"/>
          <w:marRight w:val="0"/>
          <w:marTop w:val="0"/>
          <w:marBottom w:val="0"/>
          <w:divBdr>
            <w:top w:val="none" w:sz="0" w:space="0" w:color="auto"/>
            <w:left w:val="none" w:sz="0" w:space="0" w:color="auto"/>
            <w:bottom w:val="none" w:sz="0" w:space="0" w:color="auto"/>
            <w:right w:val="none" w:sz="0" w:space="0" w:color="auto"/>
          </w:divBdr>
        </w:div>
        <w:div w:id="83301645">
          <w:marLeft w:val="0"/>
          <w:marRight w:val="0"/>
          <w:marTop w:val="0"/>
          <w:marBottom w:val="0"/>
          <w:divBdr>
            <w:top w:val="none" w:sz="0" w:space="0" w:color="auto"/>
            <w:left w:val="none" w:sz="0" w:space="0" w:color="auto"/>
            <w:bottom w:val="none" w:sz="0" w:space="0" w:color="auto"/>
            <w:right w:val="none" w:sz="0" w:space="0" w:color="auto"/>
          </w:divBdr>
        </w:div>
        <w:div w:id="155343102">
          <w:marLeft w:val="0"/>
          <w:marRight w:val="0"/>
          <w:marTop w:val="0"/>
          <w:marBottom w:val="0"/>
          <w:divBdr>
            <w:top w:val="none" w:sz="0" w:space="0" w:color="auto"/>
            <w:left w:val="none" w:sz="0" w:space="0" w:color="auto"/>
            <w:bottom w:val="none" w:sz="0" w:space="0" w:color="auto"/>
            <w:right w:val="none" w:sz="0" w:space="0" w:color="auto"/>
          </w:divBdr>
        </w:div>
        <w:div w:id="362095425">
          <w:marLeft w:val="0"/>
          <w:marRight w:val="0"/>
          <w:marTop w:val="0"/>
          <w:marBottom w:val="0"/>
          <w:divBdr>
            <w:top w:val="none" w:sz="0" w:space="0" w:color="auto"/>
            <w:left w:val="none" w:sz="0" w:space="0" w:color="auto"/>
            <w:bottom w:val="none" w:sz="0" w:space="0" w:color="auto"/>
            <w:right w:val="none" w:sz="0" w:space="0" w:color="auto"/>
          </w:divBdr>
        </w:div>
        <w:div w:id="368339930">
          <w:marLeft w:val="0"/>
          <w:marRight w:val="0"/>
          <w:marTop w:val="0"/>
          <w:marBottom w:val="0"/>
          <w:divBdr>
            <w:top w:val="none" w:sz="0" w:space="0" w:color="auto"/>
            <w:left w:val="none" w:sz="0" w:space="0" w:color="auto"/>
            <w:bottom w:val="none" w:sz="0" w:space="0" w:color="auto"/>
            <w:right w:val="none" w:sz="0" w:space="0" w:color="auto"/>
          </w:divBdr>
        </w:div>
        <w:div w:id="384303295">
          <w:marLeft w:val="0"/>
          <w:marRight w:val="0"/>
          <w:marTop w:val="0"/>
          <w:marBottom w:val="0"/>
          <w:divBdr>
            <w:top w:val="none" w:sz="0" w:space="0" w:color="auto"/>
            <w:left w:val="none" w:sz="0" w:space="0" w:color="auto"/>
            <w:bottom w:val="none" w:sz="0" w:space="0" w:color="auto"/>
            <w:right w:val="none" w:sz="0" w:space="0" w:color="auto"/>
          </w:divBdr>
        </w:div>
        <w:div w:id="551044870">
          <w:marLeft w:val="0"/>
          <w:marRight w:val="0"/>
          <w:marTop w:val="0"/>
          <w:marBottom w:val="0"/>
          <w:divBdr>
            <w:top w:val="none" w:sz="0" w:space="0" w:color="auto"/>
            <w:left w:val="none" w:sz="0" w:space="0" w:color="auto"/>
            <w:bottom w:val="none" w:sz="0" w:space="0" w:color="auto"/>
            <w:right w:val="none" w:sz="0" w:space="0" w:color="auto"/>
          </w:divBdr>
        </w:div>
        <w:div w:id="745999764">
          <w:marLeft w:val="0"/>
          <w:marRight w:val="0"/>
          <w:marTop w:val="0"/>
          <w:marBottom w:val="0"/>
          <w:divBdr>
            <w:top w:val="none" w:sz="0" w:space="0" w:color="auto"/>
            <w:left w:val="none" w:sz="0" w:space="0" w:color="auto"/>
            <w:bottom w:val="none" w:sz="0" w:space="0" w:color="auto"/>
            <w:right w:val="none" w:sz="0" w:space="0" w:color="auto"/>
          </w:divBdr>
        </w:div>
        <w:div w:id="899442528">
          <w:marLeft w:val="0"/>
          <w:marRight w:val="0"/>
          <w:marTop w:val="0"/>
          <w:marBottom w:val="0"/>
          <w:divBdr>
            <w:top w:val="none" w:sz="0" w:space="0" w:color="auto"/>
            <w:left w:val="none" w:sz="0" w:space="0" w:color="auto"/>
            <w:bottom w:val="none" w:sz="0" w:space="0" w:color="auto"/>
            <w:right w:val="none" w:sz="0" w:space="0" w:color="auto"/>
          </w:divBdr>
        </w:div>
        <w:div w:id="1119032449">
          <w:marLeft w:val="0"/>
          <w:marRight w:val="0"/>
          <w:marTop w:val="0"/>
          <w:marBottom w:val="0"/>
          <w:divBdr>
            <w:top w:val="none" w:sz="0" w:space="0" w:color="auto"/>
            <w:left w:val="none" w:sz="0" w:space="0" w:color="auto"/>
            <w:bottom w:val="none" w:sz="0" w:space="0" w:color="auto"/>
            <w:right w:val="none" w:sz="0" w:space="0" w:color="auto"/>
          </w:divBdr>
        </w:div>
        <w:div w:id="1175848385">
          <w:marLeft w:val="0"/>
          <w:marRight w:val="0"/>
          <w:marTop w:val="0"/>
          <w:marBottom w:val="0"/>
          <w:divBdr>
            <w:top w:val="none" w:sz="0" w:space="0" w:color="auto"/>
            <w:left w:val="none" w:sz="0" w:space="0" w:color="auto"/>
            <w:bottom w:val="none" w:sz="0" w:space="0" w:color="auto"/>
            <w:right w:val="none" w:sz="0" w:space="0" w:color="auto"/>
          </w:divBdr>
        </w:div>
        <w:div w:id="1181092778">
          <w:marLeft w:val="0"/>
          <w:marRight w:val="0"/>
          <w:marTop w:val="0"/>
          <w:marBottom w:val="0"/>
          <w:divBdr>
            <w:top w:val="none" w:sz="0" w:space="0" w:color="auto"/>
            <w:left w:val="none" w:sz="0" w:space="0" w:color="auto"/>
            <w:bottom w:val="none" w:sz="0" w:space="0" w:color="auto"/>
            <w:right w:val="none" w:sz="0" w:space="0" w:color="auto"/>
          </w:divBdr>
        </w:div>
        <w:div w:id="1493987511">
          <w:marLeft w:val="0"/>
          <w:marRight w:val="0"/>
          <w:marTop w:val="0"/>
          <w:marBottom w:val="0"/>
          <w:divBdr>
            <w:top w:val="none" w:sz="0" w:space="0" w:color="auto"/>
            <w:left w:val="none" w:sz="0" w:space="0" w:color="auto"/>
            <w:bottom w:val="none" w:sz="0" w:space="0" w:color="auto"/>
            <w:right w:val="none" w:sz="0" w:space="0" w:color="auto"/>
          </w:divBdr>
        </w:div>
        <w:div w:id="1614897233">
          <w:marLeft w:val="0"/>
          <w:marRight w:val="0"/>
          <w:marTop w:val="0"/>
          <w:marBottom w:val="0"/>
          <w:divBdr>
            <w:top w:val="none" w:sz="0" w:space="0" w:color="auto"/>
            <w:left w:val="none" w:sz="0" w:space="0" w:color="auto"/>
            <w:bottom w:val="none" w:sz="0" w:space="0" w:color="auto"/>
            <w:right w:val="none" w:sz="0" w:space="0" w:color="auto"/>
          </w:divBdr>
        </w:div>
        <w:div w:id="1817646614">
          <w:marLeft w:val="0"/>
          <w:marRight w:val="0"/>
          <w:marTop w:val="0"/>
          <w:marBottom w:val="0"/>
          <w:divBdr>
            <w:top w:val="none" w:sz="0" w:space="0" w:color="auto"/>
            <w:left w:val="none" w:sz="0" w:space="0" w:color="auto"/>
            <w:bottom w:val="none" w:sz="0" w:space="0" w:color="auto"/>
            <w:right w:val="none" w:sz="0" w:space="0" w:color="auto"/>
          </w:divBdr>
        </w:div>
      </w:divsChild>
    </w:div>
    <w:div w:id="727534707">
      <w:bodyDiv w:val="1"/>
      <w:marLeft w:val="0"/>
      <w:marRight w:val="0"/>
      <w:marTop w:val="0"/>
      <w:marBottom w:val="0"/>
      <w:divBdr>
        <w:top w:val="none" w:sz="0" w:space="0" w:color="auto"/>
        <w:left w:val="none" w:sz="0" w:space="0" w:color="auto"/>
        <w:bottom w:val="none" w:sz="0" w:space="0" w:color="auto"/>
        <w:right w:val="none" w:sz="0" w:space="0" w:color="auto"/>
      </w:divBdr>
    </w:div>
    <w:div w:id="743645067">
      <w:bodyDiv w:val="1"/>
      <w:marLeft w:val="0"/>
      <w:marRight w:val="0"/>
      <w:marTop w:val="0"/>
      <w:marBottom w:val="0"/>
      <w:divBdr>
        <w:top w:val="none" w:sz="0" w:space="0" w:color="auto"/>
        <w:left w:val="none" w:sz="0" w:space="0" w:color="auto"/>
        <w:bottom w:val="none" w:sz="0" w:space="0" w:color="auto"/>
        <w:right w:val="none" w:sz="0" w:space="0" w:color="auto"/>
      </w:divBdr>
    </w:div>
    <w:div w:id="744717541">
      <w:bodyDiv w:val="1"/>
      <w:marLeft w:val="0"/>
      <w:marRight w:val="0"/>
      <w:marTop w:val="0"/>
      <w:marBottom w:val="0"/>
      <w:divBdr>
        <w:top w:val="none" w:sz="0" w:space="0" w:color="auto"/>
        <w:left w:val="none" w:sz="0" w:space="0" w:color="auto"/>
        <w:bottom w:val="none" w:sz="0" w:space="0" w:color="auto"/>
        <w:right w:val="none" w:sz="0" w:space="0" w:color="auto"/>
      </w:divBdr>
    </w:div>
    <w:div w:id="749891635">
      <w:bodyDiv w:val="1"/>
      <w:marLeft w:val="0"/>
      <w:marRight w:val="0"/>
      <w:marTop w:val="0"/>
      <w:marBottom w:val="0"/>
      <w:divBdr>
        <w:top w:val="none" w:sz="0" w:space="0" w:color="auto"/>
        <w:left w:val="none" w:sz="0" w:space="0" w:color="auto"/>
        <w:bottom w:val="none" w:sz="0" w:space="0" w:color="auto"/>
        <w:right w:val="none" w:sz="0" w:space="0" w:color="auto"/>
      </w:divBdr>
      <w:divsChild>
        <w:div w:id="865867336">
          <w:marLeft w:val="0"/>
          <w:marRight w:val="0"/>
          <w:marTop w:val="0"/>
          <w:marBottom w:val="0"/>
          <w:divBdr>
            <w:top w:val="none" w:sz="0" w:space="0" w:color="auto"/>
            <w:left w:val="none" w:sz="0" w:space="0" w:color="auto"/>
            <w:bottom w:val="none" w:sz="0" w:space="0" w:color="auto"/>
            <w:right w:val="none" w:sz="0" w:space="0" w:color="auto"/>
          </w:divBdr>
        </w:div>
        <w:div w:id="1299802861">
          <w:marLeft w:val="0"/>
          <w:marRight w:val="0"/>
          <w:marTop w:val="0"/>
          <w:marBottom w:val="0"/>
          <w:divBdr>
            <w:top w:val="none" w:sz="0" w:space="0" w:color="auto"/>
            <w:left w:val="none" w:sz="0" w:space="0" w:color="auto"/>
            <w:bottom w:val="none" w:sz="0" w:space="0" w:color="auto"/>
            <w:right w:val="none" w:sz="0" w:space="0" w:color="auto"/>
          </w:divBdr>
        </w:div>
        <w:div w:id="1571039661">
          <w:marLeft w:val="0"/>
          <w:marRight w:val="0"/>
          <w:marTop w:val="0"/>
          <w:marBottom w:val="0"/>
          <w:divBdr>
            <w:top w:val="none" w:sz="0" w:space="0" w:color="auto"/>
            <w:left w:val="none" w:sz="0" w:space="0" w:color="auto"/>
            <w:bottom w:val="none" w:sz="0" w:space="0" w:color="auto"/>
            <w:right w:val="none" w:sz="0" w:space="0" w:color="auto"/>
          </w:divBdr>
        </w:div>
        <w:div w:id="1845973443">
          <w:marLeft w:val="0"/>
          <w:marRight w:val="0"/>
          <w:marTop w:val="0"/>
          <w:marBottom w:val="0"/>
          <w:divBdr>
            <w:top w:val="none" w:sz="0" w:space="0" w:color="auto"/>
            <w:left w:val="none" w:sz="0" w:space="0" w:color="auto"/>
            <w:bottom w:val="none" w:sz="0" w:space="0" w:color="auto"/>
            <w:right w:val="none" w:sz="0" w:space="0" w:color="auto"/>
          </w:divBdr>
        </w:div>
      </w:divsChild>
    </w:div>
    <w:div w:id="751047187">
      <w:bodyDiv w:val="1"/>
      <w:marLeft w:val="0"/>
      <w:marRight w:val="0"/>
      <w:marTop w:val="0"/>
      <w:marBottom w:val="0"/>
      <w:divBdr>
        <w:top w:val="none" w:sz="0" w:space="0" w:color="auto"/>
        <w:left w:val="none" w:sz="0" w:space="0" w:color="auto"/>
        <w:bottom w:val="none" w:sz="0" w:space="0" w:color="auto"/>
        <w:right w:val="none" w:sz="0" w:space="0" w:color="auto"/>
      </w:divBdr>
      <w:divsChild>
        <w:div w:id="92937493">
          <w:marLeft w:val="0"/>
          <w:marRight w:val="0"/>
          <w:marTop w:val="0"/>
          <w:marBottom w:val="0"/>
          <w:divBdr>
            <w:top w:val="none" w:sz="0" w:space="0" w:color="auto"/>
            <w:left w:val="none" w:sz="0" w:space="0" w:color="auto"/>
            <w:bottom w:val="none" w:sz="0" w:space="0" w:color="auto"/>
            <w:right w:val="none" w:sz="0" w:space="0" w:color="auto"/>
          </w:divBdr>
        </w:div>
        <w:div w:id="516819485">
          <w:marLeft w:val="0"/>
          <w:marRight w:val="0"/>
          <w:marTop w:val="0"/>
          <w:marBottom w:val="0"/>
          <w:divBdr>
            <w:top w:val="none" w:sz="0" w:space="0" w:color="auto"/>
            <w:left w:val="none" w:sz="0" w:space="0" w:color="auto"/>
            <w:bottom w:val="none" w:sz="0" w:space="0" w:color="auto"/>
            <w:right w:val="none" w:sz="0" w:space="0" w:color="auto"/>
          </w:divBdr>
        </w:div>
        <w:div w:id="1738357308">
          <w:marLeft w:val="0"/>
          <w:marRight w:val="0"/>
          <w:marTop w:val="0"/>
          <w:marBottom w:val="0"/>
          <w:divBdr>
            <w:top w:val="none" w:sz="0" w:space="0" w:color="auto"/>
            <w:left w:val="none" w:sz="0" w:space="0" w:color="auto"/>
            <w:bottom w:val="none" w:sz="0" w:space="0" w:color="auto"/>
            <w:right w:val="none" w:sz="0" w:space="0" w:color="auto"/>
          </w:divBdr>
        </w:div>
      </w:divsChild>
    </w:div>
    <w:div w:id="770052888">
      <w:bodyDiv w:val="1"/>
      <w:marLeft w:val="0"/>
      <w:marRight w:val="0"/>
      <w:marTop w:val="0"/>
      <w:marBottom w:val="0"/>
      <w:divBdr>
        <w:top w:val="none" w:sz="0" w:space="0" w:color="auto"/>
        <w:left w:val="none" w:sz="0" w:space="0" w:color="auto"/>
        <w:bottom w:val="none" w:sz="0" w:space="0" w:color="auto"/>
        <w:right w:val="none" w:sz="0" w:space="0" w:color="auto"/>
      </w:divBdr>
    </w:div>
    <w:div w:id="783765003">
      <w:bodyDiv w:val="1"/>
      <w:marLeft w:val="0"/>
      <w:marRight w:val="0"/>
      <w:marTop w:val="0"/>
      <w:marBottom w:val="0"/>
      <w:divBdr>
        <w:top w:val="none" w:sz="0" w:space="0" w:color="auto"/>
        <w:left w:val="none" w:sz="0" w:space="0" w:color="auto"/>
        <w:bottom w:val="none" w:sz="0" w:space="0" w:color="auto"/>
        <w:right w:val="none" w:sz="0" w:space="0" w:color="auto"/>
      </w:divBdr>
    </w:div>
    <w:div w:id="783816539">
      <w:bodyDiv w:val="1"/>
      <w:marLeft w:val="0"/>
      <w:marRight w:val="0"/>
      <w:marTop w:val="0"/>
      <w:marBottom w:val="0"/>
      <w:divBdr>
        <w:top w:val="none" w:sz="0" w:space="0" w:color="auto"/>
        <w:left w:val="none" w:sz="0" w:space="0" w:color="auto"/>
        <w:bottom w:val="none" w:sz="0" w:space="0" w:color="auto"/>
        <w:right w:val="none" w:sz="0" w:space="0" w:color="auto"/>
      </w:divBdr>
    </w:div>
    <w:div w:id="786508554">
      <w:bodyDiv w:val="1"/>
      <w:marLeft w:val="0"/>
      <w:marRight w:val="0"/>
      <w:marTop w:val="0"/>
      <w:marBottom w:val="0"/>
      <w:divBdr>
        <w:top w:val="none" w:sz="0" w:space="0" w:color="auto"/>
        <w:left w:val="none" w:sz="0" w:space="0" w:color="auto"/>
        <w:bottom w:val="none" w:sz="0" w:space="0" w:color="auto"/>
        <w:right w:val="none" w:sz="0" w:space="0" w:color="auto"/>
      </w:divBdr>
    </w:div>
    <w:div w:id="813915080">
      <w:bodyDiv w:val="1"/>
      <w:marLeft w:val="0"/>
      <w:marRight w:val="0"/>
      <w:marTop w:val="0"/>
      <w:marBottom w:val="0"/>
      <w:divBdr>
        <w:top w:val="none" w:sz="0" w:space="0" w:color="auto"/>
        <w:left w:val="none" w:sz="0" w:space="0" w:color="auto"/>
        <w:bottom w:val="none" w:sz="0" w:space="0" w:color="auto"/>
        <w:right w:val="none" w:sz="0" w:space="0" w:color="auto"/>
      </w:divBdr>
    </w:div>
    <w:div w:id="824013993">
      <w:bodyDiv w:val="1"/>
      <w:marLeft w:val="0"/>
      <w:marRight w:val="0"/>
      <w:marTop w:val="0"/>
      <w:marBottom w:val="0"/>
      <w:divBdr>
        <w:top w:val="none" w:sz="0" w:space="0" w:color="auto"/>
        <w:left w:val="none" w:sz="0" w:space="0" w:color="auto"/>
        <w:bottom w:val="none" w:sz="0" w:space="0" w:color="auto"/>
        <w:right w:val="none" w:sz="0" w:space="0" w:color="auto"/>
      </w:divBdr>
    </w:div>
    <w:div w:id="831259139">
      <w:bodyDiv w:val="1"/>
      <w:marLeft w:val="0"/>
      <w:marRight w:val="0"/>
      <w:marTop w:val="0"/>
      <w:marBottom w:val="0"/>
      <w:divBdr>
        <w:top w:val="none" w:sz="0" w:space="0" w:color="auto"/>
        <w:left w:val="none" w:sz="0" w:space="0" w:color="auto"/>
        <w:bottom w:val="none" w:sz="0" w:space="0" w:color="auto"/>
        <w:right w:val="none" w:sz="0" w:space="0" w:color="auto"/>
      </w:divBdr>
    </w:div>
    <w:div w:id="858078926">
      <w:bodyDiv w:val="1"/>
      <w:marLeft w:val="0"/>
      <w:marRight w:val="0"/>
      <w:marTop w:val="0"/>
      <w:marBottom w:val="0"/>
      <w:divBdr>
        <w:top w:val="none" w:sz="0" w:space="0" w:color="auto"/>
        <w:left w:val="none" w:sz="0" w:space="0" w:color="auto"/>
        <w:bottom w:val="none" w:sz="0" w:space="0" w:color="auto"/>
        <w:right w:val="none" w:sz="0" w:space="0" w:color="auto"/>
      </w:divBdr>
      <w:divsChild>
        <w:div w:id="351028181">
          <w:marLeft w:val="0"/>
          <w:marRight w:val="0"/>
          <w:marTop w:val="0"/>
          <w:marBottom w:val="0"/>
          <w:divBdr>
            <w:top w:val="none" w:sz="0" w:space="0" w:color="auto"/>
            <w:left w:val="none" w:sz="0" w:space="0" w:color="auto"/>
            <w:bottom w:val="none" w:sz="0" w:space="0" w:color="auto"/>
            <w:right w:val="none" w:sz="0" w:space="0" w:color="auto"/>
          </w:divBdr>
        </w:div>
        <w:div w:id="521894156">
          <w:marLeft w:val="0"/>
          <w:marRight w:val="0"/>
          <w:marTop w:val="0"/>
          <w:marBottom w:val="0"/>
          <w:divBdr>
            <w:top w:val="none" w:sz="0" w:space="0" w:color="auto"/>
            <w:left w:val="none" w:sz="0" w:space="0" w:color="auto"/>
            <w:bottom w:val="none" w:sz="0" w:space="0" w:color="auto"/>
            <w:right w:val="none" w:sz="0" w:space="0" w:color="auto"/>
          </w:divBdr>
        </w:div>
        <w:div w:id="982975803">
          <w:marLeft w:val="0"/>
          <w:marRight w:val="0"/>
          <w:marTop w:val="0"/>
          <w:marBottom w:val="0"/>
          <w:divBdr>
            <w:top w:val="none" w:sz="0" w:space="0" w:color="auto"/>
            <w:left w:val="none" w:sz="0" w:space="0" w:color="auto"/>
            <w:bottom w:val="none" w:sz="0" w:space="0" w:color="auto"/>
            <w:right w:val="none" w:sz="0" w:space="0" w:color="auto"/>
          </w:divBdr>
        </w:div>
        <w:div w:id="1604726495">
          <w:marLeft w:val="0"/>
          <w:marRight w:val="0"/>
          <w:marTop w:val="0"/>
          <w:marBottom w:val="0"/>
          <w:divBdr>
            <w:top w:val="none" w:sz="0" w:space="0" w:color="auto"/>
            <w:left w:val="none" w:sz="0" w:space="0" w:color="auto"/>
            <w:bottom w:val="none" w:sz="0" w:space="0" w:color="auto"/>
            <w:right w:val="none" w:sz="0" w:space="0" w:color="auto"/>
          </w:divBdr>
        </w:div>
        <w:div w:id="1648582408">
          <w:marLeft w:val="0"/>
          <w:marRight w:val="0"/>
          <w:marTop w:val="0"/>
          <w:marBottom w:val="0"/>
          <w:divBdr>
            <w:top w:val="none" w:sz="0" w:space="0" w:color="auto"/>
            <w:left w:val="none" w:sz="0" w:space="0" w:color="auto"/>
            <w:bottom w:val="none" w:sz="0" w:space="0" w:color="auto"/>
            <w:right w:val="none" w:sz="0" w:space="0" w:color="auto"/>
          </w:divBdr>
        </w:div>
        <w:div w:id="2005737818">
          <w:marLeft w:val="0"/>
          <w:marRight w:val="0"/>
          <w:marTop w:val="0"/>
          <w:marBottom w:val="0"/>
          <w:divBdr>
            <w:top w:val="none" w:sz="0" w:space="0" w:color="auto"/>
            <w:left w:val="none" w:sz="0" w:space="0" w:color="auto"/>
            <w:bottom w:val="none" w:sz="0" w:space="0" w:color="auto"/>
            <w:right w:val="none" w:sz="0" w:space="0" w:color="auto"/>
          </w:divBdr>
        </w:div>
      </w:divsChild>
    </w:div>
    <w:div w:id="861357577">
      <w:bodyDiv w:val="1"/>
      <w:marLeft w:val="0"/>
      <w:marRight w:val="0"/>
      <w:marTop w:val="0"/>
      <w:marBottom w:val="0"/>
      <w:divBdr>
        <w:top w:val="none" w:sz="0" w:space="0" w:color="auto"/>
        <w:left w:val="none" w:sz="0" w:space="0" w:color="auto"/>
        <w:bottom w:val="none" w:sz="0" w:space="0" w:color="auto"/>
        <w:right w:val="none" w:sz="0" w:space="0" w:color="auto"/>
      </w:divBdr>
    </w:div>
    <w:div w:id="867720353">
      <w:bodyDiv w:val="1"/>
      <w:marLeft w:val="0"/>
      <w:marRight w:val="0"/>
      <w:marTop w:val="0"/>
      <w:marBottom w:val="0"/>
      <w:divBdr>
        <w:top w:val="none" w:sz="0" w:space="0" w:color="auto"/>
        <w:left w:val="none" w:sz="0" w:space="0" w:color="auto"/>
        <w:bottom w:val="none" w:sz="0" w:space="0" w:color="auto"/>
        <w:right w:val="none" w:sz="0" w:space="0" w:color="auto"/>
      </w:divBdr>
    </w:div>
    <w:div w:id="882670961">
      <w:bodyDiv w:val="1"/>
      <w:marLeft w:val="0"/>
      <w:marRight w:val="0"/>
      <w:marTop w:val="0"/>
      <w:marBottom w:val="0"/>
      <w:divBdr>
        <w:top w:val="none" w:sz="0" w:space="0" w:color="auto"/>
        <w:left w:val="none" w:sz="0" w:space="0" w:color="auto"/>
        <w:bottom w:val="none" w:sz="0" w:space="0" w:color="auto"/>
        <w:right w:val="none" w:sz="0" w:space="0" w:color="auto"/>
      </w:divBdr>
    </w:div>
    <w:div w:id="895506550">
      <w:bodyDiv w:val="1"/>
      <w:marLeft w:val="0"/>
      <w:marRight w:val="0"/>
      <w:marTop w:val="0"/>
      <w:marBottom w:val="0"/>
      <w:divBdr>
        <w:top w:val="none" w:sz="0" w:space="0" w:color="auto"/>
        <w:left w:val="none" w:sz="0" w:space="0" w:color="auto"/>
        <w:bottom w:val="none" w:sz="0" w:space="0" w:color="auto"/>
        <w:right w:val="none" w:sz="0" w:space="0" w:color="auto"/>
      </w:divBdr>
    </w:div>
    <w:div w:id="908880326">
      <w:bodyDiv w:val="1"/>
      <w:marLeft w:val="0"/>
      <w:marRight w:val="0"/>
      <w:marTop w:val="0"/>
      <w:marBottom w:val="0"/>
      <w:divBdr>
        <w:top w:val="none" w:sz="0" w:space="0" w:color="auto"/>
        <w:left w:val="none" w:sz="0" w:space="0" w:color="auto"/>
        <w:bottom w:val="none" w:sz="0" w:space="0" w:color="auto"/>
        <w:right w:val="none" w:sz="0" w:space="0" w:color="auto"/>
      </w:divBdr>
    </w:div>
    <w:div w:id="961154648">
      <w:bodyDiv w:val="1"/>
      <w:marLeft w:val="0"/>
      <w:marRight w:val="0"/>
      <w:marTop w:val="0"/>
      <w:marBottom w:val="0"/>
      <w:divBdr>
        <w:top w:val="none" w:sz="0" w:space="0" w:color="auto"/>
        <w:left w:val="none" w:sz="0" w:space="0" w:color="auto"/>
        <w:bottom w:val="none" w:sz="0" w:space="0" w:color="auto"/>
        <w:right w:val="none" w:sz="0" w:space="0" w:color="auto"/>
      </w:divBdr>
    </w:div>
    <w:div w:id="979924841">
      <w:bodyDiv w:val="1"/>
      <w:marLeft w:val="0"/>
      <w:marRight w:val="0"/>
      <w:marTop w:val="0"/>
      <w:marBottom w:val="0"/>
      <w:divBdr>
        <w:top w:val="none" w:sz="0" w:space="0" w:color="auto"/>
        <w:left w:val="none" w:sz="0" w:space="0" w:color="auto"/>
        <w:bottom w:val="none" w:sz="0" w:space="0" w:color="auto"/>
        <w:right w:val="none" w:sz="0" w:space="0" w:color="auto"/>
      </w:divBdr>
    </w:div>
    <w:div w:id="981616873">
      <w:bodyDiv w:val="1"/>
      <w:marLeft w:val="0"/>
      <w:marRight w:val="0"/>
      <w:marTop w:val="0"/>
      <w:marBottom w:val="0"/>
      <w:divBdr>
        <w:top w:val="none" w:sz="0" w:space="0" w:color="auto"/>
        <w:left w:val="none" w:sz="0" w:space="0" w:color="auto"/>
        <w:bottom w:val="none" w:sz="0" w:space="0" w:color="auto"/>
        <w:right w:val="none" w:sz="0" w:space="0" w:color="auto"/>
      </w:divBdr>
    </w:div>
    <w:div w:id="990989888">
      <w:bodyDiv w:val="1"/>
      <w:marLeft w:val="0"/>
      <w:marRight w:val="0"/>
      <w:marTop w:val="0"/>
      <w:marBottom w:val="0"/>
      <w:divBdr>
        <w:top w:val="none" w:sz="0" w:space="0" w:color="auto"/>
        <w:left w:val="none" w:sz="0" w:space="0" w:color="auto"/>
        <w:bottom w:val="none" w:sz="0" w:space="0" w:color="auto"/>
        <w:right w:val="none" w:sz="0" w:space="0" w:color="auto"/>
      </w:divBdr>
      <w:divsChild>
        <w:div w:id="102578866">
          <w:marLeft w:val="0"/>
          <w:marRight w:val="0"/>
          <w:marTop w:val="0"/>
          <w:marBottom w:val="0"/>
          <w:divBdr>
            <w:top w:val="none" w:sz="0" w:space="0" w:color="auto"/>
            <w:left w:val="none" w:sz="0" w:space="0" w:color="auto"/>
            <w:bottom w:val="none" w:sz="0" w:space="0" w:color="auto"/>
            <w:right w:val="none" w:sz="0" w:space="0" w:color="auto"/>
          </w:divBdr>
        </w:div>
        <w:div w:id="225650979">
          <w:marLeft w:val="0"/>
          <w:marRight w:val="0"/>
          <w:marTop w:val="0"/>
          <w:marBottom w:val="0"/>
          <w:divBdr>
            <w:top w:val="none" w:sz="0" w:space="0" w:color="auto"/>
            <w:left w:val="none" w:sz="0" w:space="0" w:color="auto"/>
            <w:bottom w:val="none" w:sz="0" w:space="0" w:color="auto"/>
            <w:right w:val="none" w:sz="0" w:space="0" w:color="auto"/>
          </w:divBdr>
        </w:div>
        <w:div w:id="243145458">
          <w:marLeft w:val="0"/>
          <w:marRight w:val="0"/>
          <w:marTop w:val="0"/>
          <w:marBottom w:val="0"/>
          <w:divBdr>
            <w:top w:val="none" w:sz="0" w:space="0" w:color="auto"/>
            <w:left w:val="none" w:sz="0" w:space="0" w:color="auto"/>
            <w:bottom w:val="none" w:sz="0" w:space="0" w:color="auto"/>
            <w:right w:val="none" w:sz="0" w:space="0" w:color="auto"/>
          </w:divBdr>
        </w:div>
        <w:div w:id="263808538">
          <w:marLeft w:val="0"/>
          <w:marRight w:val="0"/>
          <w:marTop w:val="0"/>
          <w:marBottom w:val="0"/>
          <w:divBdr>
            <w:top w:val="none" w:sz="0" w:space="0" w:color="auto"/>
            <w:left w:val="none" w:sz="0" w:space="0" w:color="auto"/>
            <w:bottom w:val="none" w:sz="0" w:space="0" w:color="auto"/>
            <w:right w:val="none" w:sz="0" w:space="0" w:color="auto"/>
          </w:divBdr>
        </w:div>
        <w:div w:id="514342506">
          <w:marLeft w:val="0"/>
          <w:marRight w:val="0"/>
          <w:marTop w:val="0"/>
          <w:marBottom w:val="0"/>
          <w:divBdr>
            <w:top w:val="none" w:sz="0" w:space="0" w:color="auto"/>
            <w:left w:val="none" w:sz="0" w:space="0" w:color="auto"/>
            <w:bottom w:val="none" w:sz="0" w:space="0" w:color="auto"/>
            <w:right w:val="none" w:sz="0" w:space="0" w:color="auto"/>
          </w:divBdr>
        </w:div>
        <w:div w:id="554318716">
          <w:marLeft w:val="0"/>
          <w:marRight w:val="0"/>
          <w:marTop w:val="0"/>
          <w:marBottom w:val="0"/>
          <w:divBdr>
            <w:top w:val="none" w:sz="0" w:space="0" w:color="auto"/>
            <w:left w:val="none" w:sz="0" w:space="0" w:color="auto"/>
            <w:bottom w:val="none" w:sz="0" w:space="0" w:color="auto"/>
            <w:right w:val="none" w:sz="0" w:space="0" w:color="auto"/>
          </w:divBdr>
        </w:div>
        <w:div w:id="710227895">
          <w:marLeft w:val="0"/>
          <w:marRight w:val="0"/>
          <w:marTop w:val="0"/>
          <w:marBottom w:val="0"/>
          <w:divBdr>
            <w:top w:val="none" w:sz="0" w:space="0" w:color="auto"/>
            <w:left w:val="none" w:sz="0" w:space="0" w:color="auto"/>
            <w:bottom w:val="none" w:sz="0" w:space="0" w:color="auto"/>
            <w:right w:val="none" w:sz="0" w:space="0" w:color="auto"/>
          </w:divBdr>
        </w:div>
        <w:div w:id="935669100">
          <w:marLeft w:val="0"/>
          <w:marRight w:val="0"/>
          <w:marTop w:val="0"/>
          <w:marBottom w:val="0"/>
          <w:divBdr>
            <w:top w:val="none" w:sz="0" w:space="0" w:color="auto"/>
            <w:left w:val="none" w:sz="0" w:space="0" w:color="auto"/>
            <w:bottom w:val="none" w:sz="0" w:space="0" w:color="auto"/>
            <w:right w:val="none" w:sz="0" w:space="0" w:color="auto"/>
          </w:divBdr>
        </w:div>
        <w:div w:id="1146975245">
          <w:marLeft w:val="0"/>
          <w:marRight w:val="0"/>
          <w:marTop w:val="0"/>
          <w:marBottom w:val="0"/>
          <w:divBdr>
            <w:top w:val="none" w:sz="0" w:space="0" w:color="auto"/>
            <w:left w:val="none" w:sz="0" w:space="0" w:color="auto"/>
            <w:bottom w:val="none" w:sz="0" w:space="0" w:color="auto"/>
            <w:right w:val="none" w:sz="0" w:space="0" w:color="auto"/>
          </w:divBdr>
        </w:div>
        <w:div w:id="1378092164">
          <w:marLeft w:val="0"/>
          <w:marRight w:val="0"/>
          <w:marTop w:val="0"/>
          <w:marBottom w:val="0"/>
          <w:divBdr>
            <w:top w:val="none" w:sz="0" w:space="0" w:color="auto"/>
            <w:left w:val="none" w:sz="0" w:space="0" w:color="auto"/>
            <w:bottom w:val="none" w:sz="0" w:space="0" w:color="auto"/>
            <w:right w:val="none" w:sz="0" w:space="0" w:color="auto"/>
          </w:divBdr>
        </w:div>
        <w:div w:id="1419794099">
          <w:marLeft w:val="0"/>
          <w:marRight w:val="0"/>
          <w:marTop w:val="0"/>
          <w:marBottom w:val="0"/>
          <w:divBdr>
            <w:top w:val="none" w:sz="0" w:space="0" w:color="auto"/>
            <w:left w:val="none" w:sz="0" w:space="0" w:color="auto"/>
            <w:bottom w:val="none" w:sz="0" w:space="0" w:color="auto"/>
            <w:right w:val="none" w:sz="0" w:space="0" w:color="auto"/>
          </w:divBdr>
        </w:div>
        <w:div w:id="1428388070">
          <w:marLeft w:val="0"/>
          <w:marRight w:val="0"/>
          <w:marTop w:val="0"/>
          <w:marBottom w:val="0"/>
          <w:divBdr>
            <w:top w:val="none" w:sz="0" w:space="0" w:color="auto"/>
            <w:left w:val="none" w:sz="0" w:space="0" w:color="auto"/>
            <w:bottom w:val="none" w:sz="0" w:space="0" w:color="auto"/>
            <w:right w:val="none" w:sz="0" w:space="0" w:color="auto"/>
          </w:divBdr>
        </w:div>
        <w:div w:id="1605185603">
          <w:marLeft w:val="0"/>
          <w:marRight w:val="0"/>
          <w:marTop w:val="0"/>
          <w:marBottom w:val="0"/>
          <w:divBdr>
            <w:top w:val="none" w:sz="0" w:space="0" w:color="auto"/>
            <w:left w:val="none" w:sz="0" w:space="0" w:color="auto"/>
            <w:bottom w:val="none" w:sz="0" w:space="0" w:color="auto"/>
            <w:right w:val="none" w:sz="0" w:space="0" w:color="auto"/>
          </w:divBdr>
        </w:div>
        <w:div w:id="1729569143">
          <w:marLeft w:val="0"/>
          <w:marRight w:val="0"/>
          <w:marTop w:val="0"/>
          <w:marBottom w:val="0"/>
          <w:divBdr>
            <w:top w:val="none" w:sz="0" w:space="0" w:color="auto"/>
            <w:left w:val="none" w:sz="0" w:space="0" w:color="auto"/>
            <w:bottom w:val="none" w:sz="0" w:space="0" w:color="auto"/>
            <w:right w:val="none" w:sz="0" w:space="0" w:color="auto"/>
          </w:divBdr>
        </w:div>
        <w:div w:id="1732387048">
          <w:marLeft w:val="0"/>
          <w:marRight w:val="0"/>
          <w:marTop w:val="0"/>
          <w:marBottom w:val="0"/>
          <w:divBdr>
            <w:top w:val="none" w:sz="0" w:space="0" w:color="auto"/>
            <w:left w:val="none" w:sz="0" w:space="0" w:color="auto"/>
            <w:bottom w:val="none" w:sz="0" w:space="0" w:color="auto"/>
            <w:right w:val="none" w:sz="0" w:space="0" w:color="auto"/>
          </w:divBdr>
        </w:div>
        <w:div w:id="2080595925">
          <w:marLeft w:val="0"/>
          <w:marRight w:val="0"/>
          <w:marTop w:val="0"/>
          <w:marBottom w:val="0"/>
          <w:divBdr>
            <w:top w:val="none" w:sz="0" w:space="0" w:color="auto"/>
            <w:left w:val="none" w:sz="0" w:space="0" w:color="auto"/>
            <w:bottom w:val="none" w:sz="0" w:space="0" w:color="auto"/>
            <w:right w:val="none" w:sz="0" w:space="0" w:color="auto"/>
          </w:divBdr>
        </w:div>
      </w:divsChild>
    </w:div>
    <w:div w:id="995380448">
      <w:bodyDiv w:val="1"/>
      <w:marLeft w:val="0"/>
      <w:marRight w:val="0"/>
      <w:marTop w:val="0"/>
      <w:marBottom w:val="0"/>
      <w:divBdr>
        <w:top w:val="none" w:sz="0" w:space="0" w:color="auto"/>
        <w:left w:val="none" w:sz="0" w:space="0" w:color="auto"/>
        <w:bottom w:val="none" w:sz="0" w:space="0" w:color="auto"/>
        <w:right w:val="none" w:sz="0" w:space="0" w:color="auto"/>
      </w:divBdr>
    </w:div>
    <w:div w:id="1008023078">
      <w:bodyDiv w:val="1"/>
      <w:marLeft w:val="0"/>
      <w:marRight w:val="0"/>
      <w:marTop w:val="0"/>
      <w:marBottom w:val="0"/>
      <w:divBdr>
        <w:top w:val="none" w:sz="0" w:space="0" w:color="auto"/>
        <w:left w:val="none" w:sz="0" w:space="0" w:color="auto"/>
        <w:bottom w:val="none" w:sz="0" w:space="0" w:color="auto"/>
        <w:right w:val="none" w:sz="0" w:space="0" w:color="auto"/>
      </w:divBdr>
      <w:divsChild>
        <w:div w:id="15928318">
          <w:marLeft w:val="0"/>
          <w:marRight w:val="0"/>
          <w:marTop w:val="0"/>
          <w:marBottom w:val="0"/>
          <w:divBdr>
            <w:top w:val="none" w:sz="0" w:space="0" w:color="auto"/>
            <w:left w:val="none" w:sz="0" w:space="0" w:color="auto"/>
            <w:bottom w:val="none" w:sz="0" w:space="0" w:color="auto"/>
            <w:right w:val="none" w:sz="0" w:space="0" w:color="auto"/>
          </w:divBdr>
        </w:div>
        <w:div w:id="229004583">
          <w:marLeft w:val="0"/>
          <w:marRight w:val="0"/>
          <w:marTop w:val="0"/>
          <w:marBottom w:val="0"/>
          <w:divBdr>
            <w:top w:val="none" w:sz="0" w:space="0" w:color="auto"/>
            <w:left w:val="none" w:sz="0" w:space="0" w:color="auto"/>
            <w:bottom w:val="none" w:sz="0" w:space="0" w:color="auto"/>
            <w:right w:val="none" w:sz="0" w:space="0" w:color="auto"/>
          </w:divBdr>
        </w:div>
        <w:div w:id="476918543">
          <w:marLeft w:val="0"/>
          <w:marRight w:val="0"/>
          <w:marTop w:val="0"/>
          <w:marBottom w:val="0"/>
          <w:divBdr>
            <w:top w:val="none" w:sz="0" w:space="0" w:color="auto"/>
            <w:left w:val="none" w:sz="0" w:space="0" w:color="auto"/>
            <w:bottom w:val="none" w:sz="0" w:space="0" w:color="auto"/>
            <w:right w:val="none" w:sz="0" w:space="0" w:color="auto"/>
          </w:divBdr>
        </w:div>
        <w:div w:id="532502355">
          <w:marLeft w:val="0"/>
          <w:marRight w:val="0"/>
          <w:marTop w:val="0"/>
          <w:marBottom w:val="0"/>
          <w:divBdr>
            <w:top w:val="none" w:sz="0" w:space="0" w:color="auto"/>
            <w:left w:val="none" w:sz="0" w:space="0" w:color="auto"/>
            <w:bottom w:val="none" w:sz="0" w:space="0" w:color="auto"/>
            <w:right w:val="none" w:sz="0" w:space="0" w:color="auto"/>
          </w:divBdr>
        </w:div>
        <w:div w:id="788546968">
          <w:marLeft w:val="0"/>
          <w:marRight w:val="0"/>
          <w:marTop w:val="0"/>
          <w:marBottom w:val="0"/>
          <w:divBdr>
            <w:top w:val="none" w:sz="0" w:space="0" w:color="auto"/>
            <w:left w:val="none" w:sz="0" w:space="0" w:color="auto"/>
            <w:bottom w:val="none" w:sz="0" w:space="0" w:color="auto"/>
            <w:right w:val="none" w:sz="0" w:space="0" w:color="auto"/>
          </w:divBdr>
        </w:div>
        <w:div w:id="804083466">
          <w:marLeft w:val="0"/>
          <w:marRight w:val="0"/>
          <w:marTop w:val="0"/>
          <w:marBottom w:val="0"/>
          <w:divBdr>
            <w:top w:val="none" w:sz="0" w:space="0" w:color="auto"/>
            <w:left w:val="none" w:sz="0" w:space="0" w:color="auto"/>
            <w:bottom w:val="none" w:sz="0" w:space="0" w:color="auto"/>
            <w:right w:val="none" w:sz="0" w:space="0" w:color="auto"/>
          </w:divBdr>
        </w:div>
        <w:div w:id="1254513861">
          <w:marLeft w:val="0"/>
          <w:marRight w:val="0"/>
          <w:marTop w:val="0"/>
          <w:marBottom w:val="0"/>
          <w:divBdr>
            <w:top w:val="none" w:sz="0" w:space="0" w:color="auto"/>
            <w:left w:val="none" w:sz="0" w:space="0" w:color="auto"/>
            <w:bottom w:val="none" w:sz="0" w:space="0" w:color="auto"/>
            <w:right w:val="none" w:sz="0" w:space="0" w:color="auto"/>
          </w:divBdr>
        </w:div>
        <w:div w:id="1309241487">
          <w:marLeft w:val="0"/>
          <w:marRight w:val="0"/>
          <w:marTop w:val="0"/>
          <w:marBottom w:val="0"/>
          <w:divBdr>
            <w:top w:val="none" w:sz="0" w:space="0" w:color="auto"/>
            <w:left w:val="none" w:sz="0" w:space="0" w:color="auto"/>
            <w:bottom w:val="none" w:sz="0" w:space="0" w:color="auto"/>
            <w:right w:val="none" w:sz="0" w:space="0" w:color="auto"/>
          </w:divBdr>
        </w:div>
      </w:divsChild>
    </w:div>
    <w:div w:id="1009797725">
      <w:bodyDiv w:val="1"/>
      <w:marLeft w:val="0"/>
      <w:marRight w:val="0"/>
      <w:marTop w:val="0"/>
      <w:marBottom w:val="0"/>
      <w:divBdr>
        <w:top w:val="none" w:sz="0" w:space="0" w:color="auto"/>
        <w:left w:val="none" w:sz="0" w:space="0" w:color="auto"/>
        <w:bottom w:val="none" w:sz="0" w:space="0" w:color="auto"/>
        <w:right w:val="none" w:sz="0" w:space="0" w:color="auto"/>
      </w:divBdr>
      <w:divsChild>
        <w:div w:id="60760309">
          <w:marLeft w:val="0"/>
          <w:marRight w:val="0"/>
          <w:marTop w:val="0"/>
          <w:marBottom w:val="0"/>
          <w:divBdr>
            <w:top w:val="none" w:sz="0" w:space="0" w:color="auto"/>
            <w:left w:val="none" w:sz="0" w:space="0" w:color="auto"/>
            <w:bottom w:val="none" w:sz="0" w:space="0" w:color="auto"/>
            <w:right w:val="none" w:sz="0" w:space="0" w:color="auto"/>
          </w:divBdr>
        </w:div>
        <w:div w:id="157309865">
          <w:marLeft w:val="0"/>
          <w:marRight w:val="0"/>
          <w:marTop w:val="0"/>
          <w:marBottom w:val="0"/>
          <w:divBdr>
            <w:top w:val="none" w:sz="0" w:space="0" w:color="auto"/>
            <w:left w:val="none" w:sz="0" w:space="0" w:color="auto"/>
            <w:bottom w:val="none" w:sz="0" w:space="0" w:color="auto"/>
            <w:right w:val="none" w:sz="0" w:space="0" w:color="auto"/>
          </w:divBdr>
        </w:div>
        <w:div w:id="224031019">
          <w:marLeft w:val="0"/>
          <w:marRight w:val="0"/>
          <w:marTop w:val="0"/>
          <w:marBottom w:val="0"/>
          <w:divBdr>
            <w:top w:val="none" w:sz="0" w:space="0" w:color="auto"/>
            <w:left w:val="none" w:sz="0" w:space="0" w:color="auto"/>
            <w:bottom w:val="none" w:sz="0" w:space="0" w:color="auto"/>
            <w:right w:val="none" w:sz="0" w:space="0" w:color="auto"/>
          </w:divBdr>
        </w:div>
        <w:div w:id="299724839">
          <w:marLeft w:val="0"/>
          <w:marRight w:val="0"/>
          <w:marTop w:val="0"/>
          <w:marBottom w:val="0"/>
          <w:divBdr>
            <w:top w:val="none" w:sz="0" w:space="0" w:color="auto"/>
            <w:left w:val="none" w:sz="0" w:space="0" w:color="auto"/>
            <w:bottom w:val="none" w:sz="0" w:space="0" w:color="auto"/>
            <w:right w:val="none" w:sz="0" w:space="0" w:color="auto"/>
          </w:divBdr>
        </w:div>
        <w:div w:id="384790872">
          <w:marLeft w:val="0"/>
          <w:marRight w:val="0"/>
          <w:marTop w:val="0"/>
          <w:marBottom w:val="0"/>
          <w:divBdr>
            <w:top w:val="none" w:sz="0" w:space="0" w:color="auto"/>
            <w:left w:val="none" w:sz="0" w:space="0" w:color="auto"/>
            <w:bottom w:val="none" w:sz="0" w:space="0" w:color="auto"/>
            <w:right w:val="none" w:sz="0" w:space="0" w:color="auto"/>
          </w:divBdr>
        </w:div>
        <w:div w:id="541330344">
          <w:marLeft w:val="0"/>
          <w:marRight w:val="0"/>
          <w:marTop w:val="0"/>
          <w:marBottom w:val="0"/>
          <w:divBdr>
            <w:top w:val="none" w:sz="0" w:space="0" w:color="auto"/>
            <w:left w:val="none" w:sz="0" w:space="0" w:color="auto"/>
            <w:bottom w:val="none" w:sz="0" w:space="0" w:color="auto"/>
            <w:right w:val="none" w:sz="0" w:space="0" w:color="auto"/>
          </w:divBdr>
        </w:div>
        <w:div w:id="647442460">
          <w:marLeft w:val="0"/>
          <w:marRight w:val="0"/>
          <w:marTop w:val="0"/>
          <w:marBottom w:val="0"/>
          <w:divBdr>
            <w:top w:val="none" w:sz="0" w:space="0" w:color="auto"/>
            <w:left w:val="none" w:sz="0" w:space="0" w:color="auto"/>
            <w:bottom w:val="none" w:sz="0" w:space="0" w:color="auto"/>
            <w:right w:val="none" w:sz="0" w:space="0" w:color="auto"/>
          </w:divBdr>
        </w:div>
        <w:div w:id="736821454">
          <w:marLeft w:val="0"/>
          <w:marRight w:val="0"/>
          <w:marTop w:val="0"/>
          <w:marBottom w:val="0"/>
          <w:divBdr>
            <w:top w:val="none" w:sz="0" w:space="0" w:color="auto"/>
            <w:left w:val="none" w:sz="0" w:space="0" w:color="auto"/>
            <w:bottom w:val="none" w:sz="0" w:space="0" w:color="auto"/>
            <w:right w:val="none" w:sz="0" w:space="0" w:color="auto"/>
          </w:divBdr>
        </w:div>
        <w:div w:id="785076619">
          <w:marLeft w:val="0"/>
          <w:marRight w:val="0"/>
          <w:marTop w:val="0"/>
          <w:marBottom w:val="0"/>
          <w:divBdr>
            <w:top w:val="none" w:sz="0" w:space="0" w:color="auto"/>
            <w:left w:val="none" w:sz="0" w:space="0" w:color="auto"/>
            <w:bottom w:val="none" w:sz="0" w:space="0" w:color="auto"/>
            <w:right w:val="none" w:sz="0" w:space="0" w:color="auto"/>
          </w:divBdr>
        </w:div>
        <w:div w:id="987635969">
          <w:marLeft w:val="0"/>
          <w:marRight w:val="0"/>
          <w:marTop w:val="0"/>
          <w:marBottom w:val="0"/>
          <w:divBdr>
            <w:top w:val="none" w:sz="0" w:space="0" w:color="auto"/>
            <w:left w:val="none" w:sz="0" w:space="0" w:color="auto"/>
            <w:bottom w:val="none" w:sz="0" w:space="0" w:color="auto"/>
            <w:right w:val="none" w:sz="0" w:space="0" w:color="auto"/>
          </w:divBdr>
        </w:div>
        <w:div w:id="1032077257">
          <w:marLeft w:val="0"/>
          <w:marRight w:val="0"/>
          <w:marTop w:val="0"/>
          <w:marBottom w:val="0"/>
          <w:divBdr>
            <w:top w:val="none" w:sz="0" w:space="0" w:color="auto"/>
            <w:left w:val="none" w:sz="0" w:space="0" w:color="auto"/>
            <w:bottom w:val="none" w:sz="0" w:space="0" w:color="auto"/>
            <w:right w:val="none" w:sz="0" w:space="0" w:color="auto"/>
          </w:divBdr>
        </w:div>
        <w:div w:id="1428961133">
          <w:marLeft w:val="0"/>
          <w:marRight w:val="0"/>
          <w:marTop w:val="0"/>
          <w:marBottom w:val="0"/>
          <w:divBdr>
            <w:top w:val="none" w:sz="0" w:space="0" w:color="auto"/>
            <w:left w:val="none" w:sz="0" w:space="0" w:color="auto"/>
            <w:bottom w:val="none" w:sz="0" w:space="0" w:color="auto"/>
            <w:right w:val="none" w:sz="0" w:space="0" w:color="auto"/>
          </w:divBdr>
        </w:div>
        <w:div w:id="1476606790">
          <w:marLeft w:val="0"/>
          <w:marRight w:val="0"/>
          <w:marTop w:val="0"/>
          <w:marBottom w:val="0"/>
          <w:divBdr>
            <w:top w:val="none" w:sz="0" w:space="0" w:color="auto"/>
            <w:left w:val="none" w:sz="0" w:space="0" w:color="auto"/>
            <w:bottom w:val="none" w:sz="0" w:space="0" w:color="auto"/>
            <w:right w:val="none" w:sz="0" w:space="0" w:color="auto"/>
          </w:divBdr>
        </w:div>
        <w:div w:id="1586450555">
          <w:marLeft w:val="0"/>
          <w:marRight w:val="0"/>
          <w:marTop w:val="0"/>
          <w:marBottom w:val="0"/>
          <w:divBdr>
            <w:top w:val="none" w:sz="0" w:space="0" w:color="auto"/>
            <w:left w:val="none" w:sz="0" w:space="0" w:color="auto"/>
            <w:bottom w:val="none" w:sz="0" w:space="0" w:color="auto"/>
            <w:right w:val="none" w:sz="0" w:space="0" w:color="auto"/>
          </w:divBdr>
        </w:div>
        <w:div w:id="1602640306">
          <w:marLeft w:val="0"/>
          <w:marRight w:val="0"/>
          <w:marTop w:val="0"/>
          <w:marBottom w:val="0"/>
          <w:divBdr>
            <w:top w:val="none" w:sz="0" w:space="0" w:color="auto"/>
            <w:left w:val="none" w:sz="0" w:space="0" w:color="auto"/>
            <w:bottom w:val="none" w:sz="0" w:space="0" w:color="auto"/>
            <w:right w:val="none" w:sz="0" w:space="0" w:color="auto"/>
          </w:divBdr>
        </w:div>
        <w:div w:id="1732849648">
          <w:marLeft w:val="0"/>
          <w:marRight w:val="0"/>
          <w:marTop w:val="0"/>
          <w:marBottom w:val="0"/>
          <w:divBdr>
            <w:top w:val="none" w:sz="0" w:space="0" w:color="auto"/>
            <w:left w:val="none" w:sz="0" w:space="0" w:color="auto"/>
            <w:bottom w:val="none" w:sz="0" w:space="0" w:color="auto"/>
            <w:right w:val="none" w:sz="0" w:space="0" w:color="auto"/>
          </w:divBdr>
        </w:div>
        <w:div w:id="1907185821">
          <w:marLeft w:val="0"/>
          <w:marRight w:val="0"/>
          <w:marTop w:val="0"/>
          <w:marBottom w:val="0"/>
          <w:divBdr>
            <w:top w:val="none" w:sz="0" w:space="0" w:color="auto"/>
            <w:left w:val="none" w:sz="0" w:space="0" w:color="auto"/>
            <w:bottom w:val="none" w:sz="0" w:space="0" w:color="auto"/>
            <w:right w:val="none" w:sz="0" w:space="0" w:color="auto"/>
          </w:divBdr>
        </w:div>
        <w:div w:id="1910189835">
          <w:marLeft w:val="0"/>
          <w:marRight w:val="0"/>
          <w:marTop w:val="0"/>
          <w:marBottom w:val="0"/>
          <w:divBdr>
            <w:top w:val="none" w:sz="0" w:space="0" w:color="auto"/>
            <w:left w:val="none" w:sz="0" w:space="0" w:color="auto"/>
            <w:bottom w:val="none" w:sz="0" w:space="0" w:color="auto"/>
            <w:right w:val="none" w:sz="0" w:space="0" w:color="auto"/>
          </w:divBdr>
        </w:div>
        <w:div w:id="1973291061">
          <w:marLeft w:val="0"/>
          <w:marRight w:val="0"/>
          <w:marTop w:val="0"/>
          <w:marBottom w:val="0"/>
          <w:divBdr>
            <w:top w:val="none" w:sz="0" w:space="0" w:color="auto"/>
            <w:left w:val="none" w:sz="0" w:space="0" w:color="auto"/>
            <w:bottom w:val="none" w:sz="0" w:space="0" w:color="auto"/>
            <w:right w:val="none" w:sz="0" w:space="0" w:color="auto"/>
          </w:divBdr>
        </w:div>
        <w:div w:id="2063557726">
          <w:marLeft w:val="0"/>
          <w:marRight w:val="0"/>
          <w:marTop w:val="0"/>
          <w:marBottom w:val="0"/>
          <w:divBdr>
            <w:top w:val="none" w:sz="0" w:space="0" w:color="auto"/>
            <w:left w:val="none" w:sz="0" w:space="0" w:color="auto"/>
            <w:bottom w:val="none" w:sz="0" w:space="0" w:color="auto"/>
            <w:right w:val="none" w:sz="0" w:space="0" w:color="auto"/>
          </w:divBdr>
        </w:div>
        <w:div w:id="2099061929">
          <w:marLeft w:val="0"/>
          <w:marRight w:val="0"/>
          <w:marTop w:val="0"/>
          <w:marBottom w:val="0"/>
          <w:divBdr>
            <w:top w:val="none" w:sz="0" w:space="0" w:color="auto"/>
            <w:left w:val="none" w:sz="0" w:space="0" w:color="auto"/>
            <w:bottom w:val="none" w:sz="0" w:space="0" w:color="auto"/>
            <w:right w:val="none" w:sz="0" w:space="0" w:color="auto"/>
          </w:divBdr>
        </w:div>
      </w:divsChild>
    </w:div>
    <w:div w:id="1026098045">
      <w:bodyDiv w:val="1"/>
      <w:marLeft w:val="0"/>
      <w:marRight w:val="0"/>
      <w:marTop w:val="0"/>
      <w:marBottom w:val="0"/>
      <w:divBdr>
        <w:top w:val="none" w:sz="0" w:space="0" w:color="auto"/>
        <w:left w:val="none" w:sz="0" w:space="0" w:color="auto"/>
        <w:bottom w:val="none" w:sz="0" w:space="0" w:color="auto"/>
        <w:right w:val="none" w:sz="0" w:space="0" w:color="auto"/>
      </w:divBdr>
    </w:div>
    <w:div w:id="1039818232">
      <w:bodyDiv w:val="1"/>
      <w:marLeft w:val="0"/>
      <w:marRight w:val="0"/>
      <w:marTop w:val="0"/>
      <w:marBottom w:val="0"/>
      <w:divBdr>
        <w:top w:val="none" w:sz="0" w:space="0" w:color="auto"/>
        <w:left w:val="none" w:sz="0" w:space="0" w:color="auto"/>
        <w:bottom w:val="none" w:sz="0" w:space="0" w:color="auto"/>
        <w:right w:val="none" w:sz="0" w:space="0" w:color="auto"/>
      </w:divBdr>
    </w:div>
    <w:div w:id="1044908475">
      <w:bodyDiv w:val="1"/>
      <w:marLeft w:val="0"/>
      <w:marRight w:val="0"/>
      <w:marTop w:val="0"/>
      <w:marBottom w:val="0"/>
      <w:divBdr>
        <w:top w:val="none" w:sz="0" w:space="0" w:color="auto"/>
        <w:left w:val="none" w:sz="0" w:space="0" w:color="auto"/>
        <w:bottom w:val="none" w:sz="0" w:space="0" w:color="auto"/>
        <w:right w:val="none" w:sz="0" w:space="0" w:color="auto"/>
      </w:divBdr>
    </w:div>
    <w:div w:id="1046221134">
      <w:bodyDiv w:val="1"/>
      <w:marLeft w:val="0"/>
      <w:marRight w:val="0"/>
      <w:marTop w:val="0"/>
      <w:marBottom w:val="0"/>
      <w:divBdr>
        <w:top w:val="none" w:sz="0" w:space="0" w:color="auto"/>
        <w:left w:val="none" w:sz="0" w:space="0" w:color="auto"/>
        <w:bottom w:val="none" w:sz="0" w:space="0" w:color="auto"/>
        <w:right w:val="none" w:sz="0" w:space="0" w:color="auto"/>
      </w:divBdr>
    </w:div>
    <w:div w:id="1050687492">
      <w:bodyDiv w:val="1"/>
      <w:marLeft w:val="0"/>
      <w:marRight w:val="0"/>
      <w:marTop w:val="0"/>
      <w:marBottom w:val="0"/>
      <w:divBdr>
        <w:top w:val="none" w:sz="0" w:space="0" w:color="auto"/>
        <w:left w:val="none" w:sz="0" w:space="0" w:color="auto"/>
        <w:bottom w:val="none" w:sz="0" w:space="0" w:color="auto"/>
        <w:right w:val="none" w:sz="0" w:space="0" w:color="auto"/>
      </w:divBdr>
      <w:divsChild>
        <w:div w:id="121001925">
          <w:marLeft w:val="0"/>
          <w:marRight w:val="0"/>
          <w:marTop w:val="0"/>
          <w:marBottom w:val="0"/>
          <w:divBdr>
            <w:top w:val="none" w:sz="0" w:space="0" w:color="auto"/>
            <w:left w:val="none" w:sz="0" w:space="0" w:color="auto"/>
            <w:bottom w:val="none" w:sz="0" w:space="0" w:color="auto"/>
            <w:right w:val="none" w:sz="0" w:space="0" w:color="auto"/>
          </w:divBdr>
        </w:div>
        <w:div w:id="551426126">
          <w:marLeft w:val="0"/>
          <w:marRight w:val="0"/>
          <w:marTop w:val="0"/>
          <w:marBottom w:val="0"/>
          <w:divBdr>
            <w:top w:val="none" w:sz="0" w:space="0" w:color="auto"/>
            <w:left w:val="none" w:sz="0" w:space="0" w:color="auto"/>
            <w:bottom w:val="none" w:sz="0" w:space="0" w:color="auto"/>
            <w:right w:val="none" w:sz="0" w:space="0" w:color="auto"/>
          </w:divBdr>
        </w:div>
        <w:div w:id="593444018">
          <w:marLeft w:val="0"/>
          <w:marRight w:val="0"/>
          <w:marTop w:val="0"/>
          <w:marBottom w:val="0"/>
          <w:divBdr>
            <w:top w:val="none" w:sz="0" w:space="0" w:color="auto"/>
            <w:left w:val="none" w:sz="0" w:space="0" w:color="auto"/>
            <w:bottom w:val="none" w:sz="0" w:space="0" w:color="auto"/>
            <w:right w:val="none" w:sz="0" w:space="0" w:color="auto"/>
          </w:divBdr>
        </w:div>
        <w:div w:id="838812323">
          <w:marLeft w:val="0"/>
          <w:marRight w:val="0"/>
          <w:marTop w:val="0"/>
          <w:marBottom w:val="0"/>
          <w:divBdr>
            <w:top w:val="none" w:sz="0" w:space="0" w:color="auto"/>
            <w:left w:val="none" w:sz="0" w:space="0" w:color="auto"/>
            <w:bottom w:val="none" w:sz="0" w:space="0" w:color="auto"/>
            <w:right w:val="none" w:sz="0" w:space="0" w:color="auto"/>
          </w:divBdr>
        </w:div>
        <w:div w:id="1170364827">
          <w:marLeft w:val="0"/>
          <w:marRight w:val="0"/>
          <w:marTop w:val="0"/>
          <w:marBottom w:val="0"/>
          <w:divBdr>
            <w:top w:val="none" w:sz="0" w:space="0" w:color="auto"/>
            <w:left w:val="none" w:sz="0" w:space="0" w:color="auto"/>
            <w:bottom w:val="none" w:sz="0" w:space="0" w:color="auto"/>
            <w:right w:val="none" w:sz="0" w:space="0" w:color="auto"/>
          </w:divBdr>
        </w:div>
        <w:div w:id="1953508974">
          <w:marLeft w:val="0"/>
          <w:marRight w:val="0"/>
          <w:marTop w:val="0"/>
          <w:marBottom w:val="0"/>
          <w:divBdr>
            <w:top w:val="none" w:sz="0" w:space="0" w:color="auto"/>
            <w:left w:val="none" w:sz="0" w:space="0" w:color="auto"/>
            <w:bottom w:val="none" w:sz="0" w:space="0" w:color="auto"/>
            <w:right w:val="none" w:sz="0" w:space="0" w:color="auto"/>
          </w:divBdr>
        </w:div>
        <w:div w:id="2094619482">
          <w:marLeft w:val="0"/>
          <w:marRight w:val="0"/>
          <w:marTop w:val="0"/>
          <w:marBottom w:val="0"/>
          <w:divBdr>
            <w:top w:val="none" w:sz="0" w:space="0" w:color="auto"/>
            <w:left w:val="none" w:sz="0" w:space="0" w:color="auto"/>
            <w:bottom w:val="none" w:sz="0" w:space="0" w:color="auto"/>
            <w:right w:val="none" w:sz="0" w:space="0" w:color="auto"/>
          </w:divBdr>
        </w:div>
      </w:divsChild>
    </w:div>
    <w:div w:id="1080755330">
      <w:bodyDiv w:val="1"/>
      <w:marLeft w:val="0"/>
      <w:marRight w:val="0"/>
      <w:marTop w:val="0"/>
      <w:marBottom w:val="0"/>
      <w:divBdr>
        <w:top w:val="none" w:sz="0" w:space="0" w:color="auto"/>
        <w:left w:val="none" w:sz="0" w:space="0" w:color="auto"/>
        <w:bottom w:val="none" w:sz="0" w:space="0" w:color="auto"/>
        <w:right w:val="none" w:sz="0" w:space="0" w:color="auto"/>
      </w:divBdr>
    </w:div>
    <w:div w:id="1083179989">
      <w:bodyDiv w:val="1"/>
      <w:marLeft w:val="0"/>
      <w:marRight w:val="0"/>
      <w:marTop w:val="0"/>
      <w:marBottom w:val="0"/>
      <w:divBdr>
        <w:top w:val="none" w:sz="0" w:space="0" w:color="auto"/>
        <w:left w:val="none" w:sz="0" w:space="0" w:color="auto"/>
        <w:bottom w:val="none" w:sz="0" w:space="0" w:color="auto"/>
        <w:right w:val="none" w:sz="0" w:space="0" w:color="auto"/>
      </w:divBdr>
      <w:divsChild>
        <w:div w:id="564607999">
          <w:marLeft w:val="0"/>
          <w:marRight w:val="0"/>
          <w:marTop w:val="0"/>
          <w:marBottom w:val="0"/>
          <w:divBdr>
            <w:top w:val="none" w:sz="0" w:space="0" w:color="auto"/>
            <w:left w:val="none" w:sz="0" w:space="0" w:color="auto"/>
            <w:bottom w:val="none" w:sz="0" w:space="0" w:color="auto"/>
            <w:right w:val="none" w:sz="0" w:space="0" w:color="auto"/>
          </w:divBdr>
        </w:div>
        <w:div w:id="698706416">
          <w:marLeft w:val="0"/>
          <w:marRight w:val="0"/>
          <w:marTop w:val="0"/>
          <w:marBottom w:val="0"/>
          <w:divBdr>
            <w:top w:val="none" w:sz="0" w:space="0" w:color="auto"/>
            <w:left w:val="none" w:sz="0" w:space="0" w:color="auto"/>
            <w:bottom w:val="none" w:sz="0" w:space="0" w:color="auto"/>
            <w:right w:val="none" w:sz="0" w:space="0" w:color="auto"/>
          </w:divBdr>
        </w:div>
        <w:div w:id="938148058">
          <w:marLeft w:val="0"/>
          <w:marRight w:val="0"/>
          <w:marTop w:val="0"/>
          <w:marBottom w:val="0"/>
          <w:divBdr>
            <w:top w:val="none" w:sz="0" w:space="0" w:color="auto"/>
            <w:left w:val="none" w:sz="0" w:space="0" w:color="auto"/>
            <w:bottom w:val="none" w:sz="0" w:space="0" w:color="auto"/>
            <w:right w:val="none" w:sz="0" w:space="0" w:color="auto"/>
          </w:divBdr>
        </w:div>
        <w:div w:id="1002049598">
          <w:marLeft w:val="0"/>
          <w:marRight w:val="0"/>
          <w:marTop w:val="0"/>
          <w:marBottom w:val="0"/>
          <w:divBdr>
            <w:top w:val="none" w:sz="0" w:space="0" w:color="auto"/>
            <w:left w:val="none" w:sz="0" w:space="0" w:color="auto"/>
            <w:bottom w:val="none" w:sz="0" w:space="0" w:color="auto"/>
            <w:right w:val="none" w:sz="0" w:space="0" w:color="auto"/>
          </w:divBdr>
        </w:div>
        <w:div w:id="1025597157">
          <w:marLeft w:val="0"/>
          <w:marRight w:val="0"/>
          <w:marTop w:val="0"/>
          <w:marBottom w:val="0"/>
          <w:divBdr>
            <w:top w:val="none" w:sz="0" w:space="0" w:color="auto"/>
            <w:left w:val="none" w:sz="0" w:space="0" w:color="auto"/>
            <w:bottom w:val="none" w:sz="0" w:space="0" w:color="auto"/>
            <w:right w:val="none" w:sz="0" w:space="0" w:color="auto"/>
          </w:divBdr>
        </w:div>
        <w:div w:id="1329089252">
          <w:marLeft w:val="0"/>
          <w:marRight w:val="0"/>
          <w:marTop w:val="0"/>
          <w:marBottom w:val="0"/>
          <w:divBdr>
            <w:top w:val="none" w:sz="0" w:space="0" w:color="auto"/>
            <w:left w:val="none" w:sz="0" w:space="0" w:color="auto"/>
            <w:bottom w:val="none" w:sz="0" w:space="0" w:color="auto"/>
            <w:right w:val="none" w:sz="0" w:space="0" w:color="auto"/>
          </w:divBdr>
        </w:div>
        <w:div w:id="1537037654">
          <w:marLeft w:val="0"/>
          <w:marRight w:val="0"/>
          <w:marTop w:val="0"/>
          <w:marBottom w:val="0"/>
          <w:divBdr>
            <w:top w:val="none" w:sz="0" w:space="0" w:color="auto"/>
            <w:left w:val="none" w:sz="0" w:space="0" w:color="auto"/>
            <w:bottom w:val="none" w:sz="0" w:space="0" w:color="auto"/>
            <w:right w:val="none" w:sz="0" w:space="0" w:color="auto"/>
          </w:divBdr>
        </w:div>
        <w:div w:id="1685017925">
          <w:marLeft w:val="0"/>
          <w:marRight w:val="0"/>
          <w:marTop w:val="0"/>
          <w:marBottom w:val="0"/>
          <w:divBdr>
            <w:top w:val="none" w:sz="0" w:space="0" w:color="auto"/>
            <w:left w:val="none" w:sz="0" w:space="0" w:color="auto"/>
            <w:bottom w:val="none" w:sz="0" w:space="0" w:color="auto"/>
            <w:right w:val="none" w:sz="0" w:space="0" w:color="auto"/>
          </w:divBdr>
        </w:div>
        <w:div w:id="2129272132">
          <w:marLeft w:val="0"/>
          <w:marRight w:val="0"/>
          <w:marTop w:val="0"/>
          <w:marBottom w:val="0"/>
          <w:divBdr>
            <w:top w:val="none" w:sz="0" w:space="0" w:color="auto"/>
            <w:left w:val="none" w:sz="0" w:space="0" w:color="auto"/>
            <w:bottom w:val="none" w:sz="0" w:space="0" w:color="auto"/>
            <w:right w:val="none" w:sz="0" w:space="0" w:color="auto"/>
          </w:divBdr>
        </w:div>
      </w:divsChild>
    </w:div>
    <w:div w:id="1091203117">
      <w:bodyDiv w:val="1"/>
      <w:marLeft w:val="0"/>
      <w:marRight w:val="0"/>
      <w:marTop w:val="0"/>
      <w:marBottom w:val="0"/>
      <w:divBdr>
        <w:top w:val="none" w:sz="0" w:space="0" w:color="auto"/>
        <w:left w:val="none" w:sz="0" w:space="0" w:color="auto"/>
        <w:bottom w:val="none" w:sz="0" w:space="0" w:color="auto"/>
        <w:right w:val="none" w:sz="0" w:space="0" w:color="auto"/>
      </w:divBdr>
    </w:div>
    <w:div w:id="1103110500">
      <w:bodyDiv w:val="1"/>
      <w:marLeft w:val="0"/>
      <w:marRight w:val="0"/>
      <w:marTop w:val="0"/>
      <w:marBottom w:val="0"/>
      <w:divBdr>
        <w:top w:val="none" w:sz="0" w:space="0" w:color="auto"/>
        <w:left w:val="none" w:sz="0" w:space="0" w:color="auto"/>
        <w:bottom w:val="none" w:sz="0" w:space="0" w:color="auto"/>
        <w:right w:val="none" w:sz="0" w:space="0" w:color="auto"/>
      </w:divBdr>
      <w:divsChild>
        <w:div w:id="17318460">
          <w:marLeft w:val="0"/>
          <w:marRight w:val="0"/>
          <w:marTop w:val="0"/>
          <w:marBottom w:val="0"/>
          <w:divBdr>
            <w:top w:val="none" w:sz="0" w:space="0" w:color="auto"/>
            <w:left w:val="none" w:sz="0" w:space="0" w:color="auto"/>
            <w:bottom w:val="none" w:sz="0" w:space="0" w:color="auto"/>
            <w:right w:val="none" w:sz="0" w:space="0" w:color="auto"/>
          </w:divBdr>
        </w:div>
        <w:div w:id="65304553">
          <w:marLeft w:val="0"/>
          <w:marRight w:val="0"/>
          <w:marTop w:val="0"/>
          <w:marBottom w:val="0"/>
          <w:divBdr>
            <w:top w:val="none" w:sz="0" w:space="0" w:color="auto"/>
            <w:left w:val="none" w:sz="0" w:space="0" w:color="auto"/>
            <w:bottom w:val="none" w:sz="0" w:space="0" w:color="auto"/>
            <w:right w:val="none" w:sz="0" w:space="0" w:color="auto"/>
          </w:divBdr>
        </w:div>
        <w:div w:id="620258612">
          <w:marLeft w:val="0"/>
          <w:marRight w:val="0"/>
          <w:marTop w:val="0"/>
          <w:marBottom w:val="0"/>
          <w:divBdr>
            <w:top w:val="none" w:sz="0" w:space="0" w:color="auto"/>
            <w:left w:val="none" w:sz="0" w:space="0" w:color="auto"/>
            <w:bottom w:val="none" w:sz="0" w:space="0" w:color="auto"/>
            <w:right w:val="none" w:sz="0" w:space="0" w:color="auto"/>
          </w:divBdr>
        </w:div>
        <w:div w:id="711343884">
          <w:marLeft w:val="0"/>
          <w:marRight w:val="0"/>
          <w:marTop w:val="0"/>
          <w:marBottom w:val="0"/>
          <w:divBdr>
            <w:top w:val="none" w:sz="0" w:space="0" w:color="auto"/>
            <w:left w:val="none" w:sz="0" w:space="0" w:color="auto"/>
            <w:bottom w:val="none" w:sz="0" w:space="0" w:color="auto"/>
            <w:right w:val="none" w:sz="0" w:space="0" w:color="auto"/>
          </w:divBdr>
        </w:div>
        <w:div w:id="786003971">
          <w:marLeft w:val="0"/>
          <w:marRight w:val="0"/>
          <w:marTop w:val="0"/>
          <w:marBottom w:val="0"/>
          <w:divBdr>
            <w:top w:val="none" w:sz="0" w:space="0" w:color="auto"/>
            <w:left w:val="none" w:sz="0" w:space="0" w:color="auto"/>
            <w:bottom w:val="none" w:sz="0" w:space="0" w:color="auto"/>
            <w:right w:val="none" w:sz="0" w:space="0" w:color="auto"/>
          </w:divBdr>
        </w:div>
        <w:div w:id="1268196434">
          <w:marLeft w:val="0"/>
          <w:marRight w:val="0"/>
          <w:marTop w:val="0"/>
          <w:marBottom w:val="0"/>
          <w:divBdr>
            <w:top w:val="none" w:sz="0" w:space="0" w:color="auto"/>
            <w:left w:val="none" w:sz="0" w:space="0" w:color="auto"/>
            <w:bottom w:val="none" w:sz="0" w:space="0" w:color="auto"/>
            <w:right w:val="none" w:sz="0" w:space="0" w:color="auto"/>
          </w:divBdr>
        </w:div>
        <w:div w:id="2107144000">
          <w:marLeft w:val="0"/>
          <w:marRight w:val="0"/>
          <w:marTop w:val="0"/>
          <w:marBottom w:val="0"/>
          <w:divBdr>
            <w:top w:val="none" w:sz="0" w:space="0" w:color="auto"/>
            <w:left w:val="none" w:sz="0" w:space="0" w:color="auto"/>
            <w:bottom w:val="none" w:sz="0" w:space="0" w:color="auto"/>
            <w:right w:val="none" w:sz="0" w:space="0" w:color="auto"/>
          </w:divBdr>
        </w:div>
        <w:div w:id="2137985756">
          <w:marLeft w:val="0"/>
          <w:marRight w:val="0"/>
          <w:marTop w:val="0"/>
          <w:marBottom w:val="0"/>
          <w:divBdr>
            <w:top w:val="none" w:sz="0" w:space="0" w:color="auto"/>
            <w:left w:val="none" w:sz="0" w:space="0" w:color="auto"/>
            <w:bottom w:val="none" w:sz="0" w:space="0" w:color="auto"/>
            <w:right w:val="none" w:sz="0" w:space="0" w:color="auto"/>
          </w:divBdr>
        </w:div>
      </w:divsChild>
    </w:div>
    <w:div w:id="1120564866">
      <w:bodyDiv w:val="1"/>
      <w:marLeft w:val="0"/>
      <w:marRight w:val="0"/>
      <w:marTop w:val="0"/>
      <w:marBottom w:val="0"/>
      <w:divBdr>
        <w:top w:val="none" w:sz="0" w:space="0" w:color="auto"/>
        <w:left w:val="none" w:sz="0" w:space="0" w:color="auto"/>
        <w:bottom w:val="none" w:sz="0" w:space="0" w:color="auto"/>
        <w:right w:val="none" w:sz="0" w:space="0" w:color="auto"/>
      </w:divBdr>
    </w:div>
    <w:div w:id="1128741340">
      <w:bodyDiv w:val="1"/>
      <w:marLeft w:val="0"/>
      <w:marRight w:val="0"/>
      <w:marTop w:val="0"/>
      <w:marBottom w:val="0"/>
      <w:divBdr>
        <w:top w:val="none" w:sz="0" w:space="0" w:color="auto"/>
        <w:left w:val="none" w:sz="0" w:space="0" w:color="auto"/>
        <w:bottom w:val="none" w:sz="0" w:space="0" w:color="auto"/>
        <w:right w:val="none" w:sz="0" w:space="0" w:color="auto"/>
      </w:divBdr>
    </w:div>
    <w:div w:id="1128822029">
      <w:bodyDiv w:val="1"/>
      <w:marLeft w:val="0"/>
      <w:marRight w:val="0"/>
      <w:marTop w:val="0"/>
      <w:marBottom w:val="0"/>
      <w:divBdr>
        <w:top w:val="none" w:sz="0" w:space="0" w:color="auto"/>
        <w:left w:val="none" w:sz="0" w:space="0" w:color="auto"/>
        <w:bottom w:val="none" w:sz="0" w:space="0" w:color="auto"/>
        <w:right w:val="none" w:sz="0" w:space="0" w:color="auto"/>
      </w:divBdr>
    </w:div>
    <w:div w:id="1143473531">
      <w:bodyDiv w:val="1"/>
      <w:marLeft w:val="0"/>
      <w:marRight w:val="0"/>
      <w:marTop w:val="0"/>
      <w:marBottom w:val="0"/>
      <w:divBdr>
        <w:top w:val="none" w:sz="0" w:space="0" w:color="auto"/>
        <w:left w:val="none" w:sz="0" w:space="0" w:color="auto"/>
        <w:bottom w:val="none" w:sz="0" w:space="0" w:color="auto"/>
        <w:right w:val="none" w:sz="0" w:space="0" w:color="auto"/>
      </w:divBdr>
    </w:div>
    <w:div w:id="1145470785">
      <w:bodyDiv w:val="1"/>
      <w:marLeft w:val="0"/>
      <w:marRight w:val="0"/>
      <w:marTop w:val="0"/>
      <w:marBottom w:val="0"/>
      <w:divBdr>
        <w:top w:val="none" w:sz="0" w:space="0" w:color="auto"/>
        <w:left w:val="none" w:sz="0" w:space="0" w:color="auto"/>
        <w:bottom w:val="none" w:sz="0" w:space="0" w:color="auto"/>
        <w:right w:val="none" w:sz="0" w:space="0" w:color="auto"/>
      </w:divBdr>
      <w:divsChild>
        <w:div w:id="105974473">
          <w:marLeft w:val="0"/>
          <w:marRight w:val="0"/>
          <w:marTop w:val="0"/>
          <w:marBottom w:val="0"/>
          <w:divBdr>
            <w:top w:val="none" w:sz="0" w:space="0" w:color="auto"/>
            <w:left w:val="none" w:sz="0" w:space="0" w:color="auto"/>
            <w:bottom w:val="none" w:sz="0" w:space="0" w:color="auto"/>
            <w:right w:val="none" w:sz="0" w:space="0" w:color="auto"/>
          </w:divBdr>
        </w:div>
        <w:div w:id="334916784">
          <w:marLeft w:val="0"/>
          <w:marRight w:val="0"/>
          <w:marTop w:val="0"/>
          <w:marBottom w:val="0"/>
          <w:divBdr>
            <w:top w:val="none" w:sz="0" w:space="0" w:color="auto"/>
            <w:left w:val="none" w:sz="0" w:space="0" w:color="auto"/>
            <w:bottom w:val="none" w:sz="0" w:space="0" w:color="auto"/>
            <w:right w:val="none" w:sz="0" w:space="0" w:color="auto"/>
          </w:divBdr>
        </w:div>
        <w:div w:id="364986310">
          <w:marLeft w:val="0"/>
          <w:marRight w:val="0"/>
          <w:marTop w:val="0"/>
          <w:marBottom w:val="0"/>
          <w:divBdr>
            <w:top w:val="none" w:sz="0" w:space="0" w:color="auto"/>
            <w:left w:val="none" w:sz="0" w:space="0" w:color="auto"/>
            <w:bottom w:val="none" w:sz="0" w:space="0" w:color="auto"/>
            <w:right w:val="none" w:sz="0" w:space="0" w:color="auto"/>
          </w:divBdr>
        </w:div>
        <w:div w:id="430904778">
          <w:marLeft w:val="0"/>
          <w:marRight w:val="0"/>
          <w:marTop w:val="0"/>
          <w:marBottom w:val="0"/>
          <w:divBdr>
            <w:top w:val="none" w:sz="0" w:space="0" w:color="auto"/>
            <w:left w:val="none" w:sz="0" w:space="0" w:color="auto"/>
            <w:bottom w:val="none" w:sz="0" w:space="0" w:color="auto"/>
            <w:right w:val="none" w:sz="0" w:space="0" w:color="auto"/>
          </w:divBdr>
        </w:div>
        <w:div w:id="449596036">
          <w:marLeft w:val="0"/>
          <w:marRight w:val="0"/>
          <w:marTop w:val="0"/>
          <w:marBottom w:val="0"/>
          <w:divBdr>
            <w:top w:val="none" w:sz="0" w:space="0" w:color="auto"/>
            <w:left w:val="none" w:sz="0" w:space="0" w:color="auto"/>
            <w:bottom w:val="none" w:sz="0" w:space="0" w:color="auto"/>
            <w:right w:val="none" w:sz="0" w:space="0" w:color="auto"/>
          </w:divBdr>
        </w:div>
        <w:div w:id="1082218860">
          <w:marLeft w:val="0"/>
          <w:marRight w:val="0"/>
          <w:marTop w:val="0"/>
          <w:marBottom w:val="0"/>
          <w:divBdr>
            <w:top w:val="none" w:sz="0" w:space="0" w:color="auto"/>
            <w:left w:val="none" w:sz="0" w:space="0" w:color="auto"/>
            <w:bottom w:val="none" w:sz="0" w:space="0" w:color="auto"/>
            <w:right w:val="none" w:sz="0" w:space="0" w:color="auto"/>
          </w:divBdr>
        </w:div>
        <w:div w:id="1434521739">
          <w:marLeft w:val="0"/>
          <w:marRight w:val="0"/>
          <w:marTop w:val="0"/>
          <w:marBottom w:val="0"/>
          <w:divBdr>
            <w:top w:val="none" w:sz="0" w:space="0" w:color="auto"/>
            <w:left w:val="none" w:sz="0" w:space="0" w:color="auto"/>
            <w:bottom w:val="none" w:sz="0" w:space="0" w:color="auto"/>
            <w:right w:val="none" w:sz="0" w:space="0" w:color="auto"/>
          </w:divBdr>
        </w:div>
        <w:div w:id="1467505350">
          <w:marLeft w:val="0"/>
          <w:marRight w:val="0"/>
          <w:marTop w:val="0"/>
          <w:marBottom w:val="0"/>
          <w:divBdr>
            <w:top w:val="none" w:sz="0" w:space="0" w:color="auto"/>
            <w:left w:val="none" w:sz="0" w:space="0" w:color="auto"/>
            <w:bottom w:val="none" w:sz="0" w:space="0" w:color="auto"/>
            <w:right w:val="none" w:sz="0" w:space="0" w:color="auto"/>
          </w:divBdr>
        </w:div>
        <w:div w:id="1624456527">
          <w:marLeft w:val="0"/>
          <w:marRight w:val="0"/>
          <w:marTop w:val="0"/>
          <w:marBottom w:val="0"/>
          <w:divBdr>
            <w:top w:val="none" w:sz="0" w:space="0" w:color="auto"/>
            <w:left w:val="none" w:sz="0" w:space="0" w:color="auto"/>
            <w:bottom w:val="none" w:sz="0" w:space="0" w:color="auto"/>
            <w:right w:val="none" w:sz="0" w:space="0" w:color="auto"/>
          </w:divBdr>
        </w:div>
        <w:div w:id="1939487991">
          <w:marLeft w:val="0"/>
          <w:marRight w:val="0"/>
          <w:marTop w:val="0"/>
          <w:marBottom w:val="0"/>
          <w:divBdr>
            <w:top w:val="none" w:sz="0" w:space="0" w:color="auto"/>
            <w:left w:val="none" w:sz="0" w:space="0" w:color="auto"/>
            <w:bottom w:val="none" w:sz="0" w:space="0" w:color="auto"/>
            <w:right w:val="none" w:sz="0" w:space="0" w:color="auto"/>
          </w:divBdr>
        </w:div>
      </w:divsChild>
    </w:div>
    <w:div w:id="1145970629">
      <w:bodyDiv w:val="1"/>
      <w:marLeft w:val="0"/>
      <w:marRight w:val="0"/>
      <w:marTop w:val="0"/>
      <w:marBottom w:val="0"/>
      <w:divBdr>
        <w:top w:val="none" w:sz="0" w:space="0" w:color="auto"/>
        <w:left w:val="none" w:sz="0" w:space="0" w:color="auto"/>
        <w:bottom w:val="none" w:sz="0" w:space="0" w:color="auto"/>
        <w:right w:val="none" w:sz="0" w:space="0" w:color="auto"/>
      </w:divBdr>
      <w:divsChild>
        <w:div w:id="389499508">
          <w:marLeft w:val="0"/>
          <w:marRight w:val="0"/>
          <w:marTop w:val="0"/>
          <w:marBottom w:val="0"/>
          <w:divBdr>
            <w:top w:val="none" w:sz="0" w:space="0" w:color="auto"/>
            <w:left w:val="none" w:sz="0" w:space="0" w:color="auto"/>
            <w:bottom w:val="none" w:sz="0" w:space="0" w:color="auto"/>
            <w:right w:val="none" w:sz="0" w:space="0" w:color="auto"/>
          </w:divBdr>
        </w:div>
        <w:div w:id="492765297">
          <w:marLeft w:val="0"/>
          <w:marRight w:val="0"/>
          <w:marTop w:val="0"/>
          <w:marBottom w:val="0"/>
          <w:divBdr>
            <w:top w:val="none" w:sz="0" w:space="0" w:color="auto"/>
            <w:left w:val="none" w:sz="0" w:space="0" w:color="auto"/>
            <w:bottom w:val="none" w:sz="0" w:space="0" w:color="auto"/>
            <w:right w:val="none" w:sz="0" w:space="0" w:color="auto"/>
          </w:divBdr>
        </w:div>
        <w:div w:id="981271409">
          <w:marLeft w:val="0"/>
          <w:marRight w:val="0"/>
          <w:marTop w:val="0"/>
          <w:marBottom w:val="0"/>
          <w:divBdr>
            <w:top w:val="none" w:sz="0" w:space="0" w:color="auto"/>
            <w:left w:val="none" w:sz="0" w:space="0" w:color="auto"/>
            <w:bottom w:val="none" w:sz="0" w:space="0" w:color="auto"/>
            <w:right w:val="none" w:sz="0" w:space="0" w:color="auto"/>
          </w:divBdr>
        </w:div>
        <w:div w:id="1423381791">
          <w:marLeft w:val="0"/>
          <w:marRight w:val="0"/>
          <w:marTop w:val="0"/>
          <w:marBottom w:val="0"/>
          <w:divBdr>
            <w:top w:val="none" w:sz="0" w:space="0" w:color="auto"/>
            <w:left w:val="none" w:sz="0" w:space="0" w:color="auto"/>
            <w:bottom w:val="none" w:sz="0" w:space="0" w:color="auto"/>
            <w:right w:val="none" w:sz="0" w:space="0" w:color="auto"/>
          </w:divBdr>
        </w:div>
        <w:div w:id="1688946851">
          <w:marLeft w:val="0"/>
          <w:marRight w:val="0"/>
          <w:marTop w:val="0"/>
          <w:marBottom w:val="0"/>
          <w:divBdr>
            <w:top w:val="none" w:sz="0" w:space="0" w:color="auto"/>
            <w:left w:val="none" w:sz="0" w:space="0" w:color="auto"/>
            <w:bottom w:val="none" w:sz="0" w:space="0" w:color="auto"/>
            <w:right w:val="none" w:sz="0" w:space="0" w:color="auto"/>
          </w:divBdr>
        </w:div>
        <w:div w:id="2078241934">
          <w:marLeft w:val="0"/>
          <w:marRight w:val="0"/>
          <w:marTop w:val="0"/>
          <w:marBottom w:val="0"/>
          <w:divBdr>
            <w:top w:val="none" w:sz="0" w:space="0" w:color="auto"/>
            <w:left w:val="none" w:sz="0" w:space="0" w:color="auto"/>
            <w:bottom w:val="none" w:sz="0" w:space="0" w:color="auto"/>
            <w:right w:val="none" w:sz="0" w:space="0" w:color="auto"/>
          </w:divBdr>
        </w:div>
      </w:divsChild>
    </w:div>
    <w:div w:id="1146972834">
      <w:bodyDiv w:val="1"/>
      <w:marLeft w:val="0"/>
      <w:marRight w:val="0"/>
      <w:marTop w:val="0"/>
      <w:marBottom w:val="0"/>
      <w:divBdr>
        <w:top w:val="none" w:sz="0" w:space="0" w:color="auto"/>
        <w:left w:val="none" w:sz="0" w:space="0" w:color="auto"/>
        <w:bottom w:val="none" w:sz="0" w:space="0" w:color="auto"/>
        <w:right w:val="none" w:sz="0" w:space="0" w:color="auto"/>
      </w:divBdr>
      <w:divsChild>
        <w:div w:id="57442269">
          <w:marLeft w:val="0"/>
          <w:marRight w:val="0"/>
          <w:marTop w:val="0"/>
          <w:marBottom w:val="0"/>
          <w:divBdr>
            <w:top w:val="none" w:sz="0" w:space="0" w:color="auto"/>
            <w:left w:val="none" w:sz="0" w:space="0" w:color="auto"/>
            <w:bottom w:val="none" w:sz="0" w:space="0" w:color="auto"/>
            <w:right w:val="none" w:sz="0" w:space="0" w:color="auto"/>
          </w:divBdr>
        </w:div>
        <w:div w:id="139929691">
          <w:marLeft w:val="0"/>
          <w:marRight w:val="0"/>
          <w:marTop w:val="0"/>
          <w:marBottom w:val="0"/>
          <w:divBdr>
            <w:top w:val="none" w:sz="0" w:space="0" w:color="auto"/>
            <w:left w:val="none" w:sz="0" w:space="0" w:color="auto"/>
            <w:bottom w:val="none" w:sz="0" w:space="0" w:color="auto"/>
            <w:right w:val="none" w:sz="0" w:space="0" w:color="auto"/>
          </w:divBdr>
        </w:div>
        <w:div w:id="234828766">
          <w:marLeft w:val="0"/>
          <w:marRight w:val="0"/>
          <w:marTop w:val="0"/>
          <w:marBottom w:val="0"/>
          <w:divBdr>
            <w:top w:val="none" w:sz="0" w:space="0" w:color="auto"/>
            <w:left w:val="none" w:sz="0" w:space="0" w:color="auto"/>
            <w:bottom w:val="none" w:sz="0" w:space="0" w:color="auto"/>
            <w:right w:val="none" w:sz="0" w:space="0" w:color="auto"/>
          </w:divBdr>
        </w:div>
        <w:div w:id="862010908">
          <w:marLeft w:val="0"/>
          <w:marRight w:val="0"/>
          <w:marTop w:val="0"/>
          <w:marBottom w:val="0"/>
          <w:divBdr>
            <w:top w:val="none" w:sz="0" w:space="0" w:color="auto"/>
            <w:left w:val="none" w:sz="0" w:space="0" w:color="auto"/>
            <w:bottom w:val="none" w:sz="0" w:space="0" w:color="auto"/>
            <w:right w:val="none" w:sz="0" w:space="0" w:color="auto"/>
          </w:divBdr>
        </w:div>
        <w:div w:id="956717419">
          <w:marLeft w:val="0"/>
          <w:marRight w:val="0"/>
          <w:marTop w:val="0"/>
          <w:marBottom w:val="0"/>
          <w:divBdr>
            <w:top w:val="none" w:sz="0" w:space="0" w:color="auto"/>
            <w:left w:val="none" w:sz="0" w:space="0" w:color="auto"/>
            <w:bottom w:val="none" w:sz="0" w:space="0" w:color="auto"/>
            <w:right w:val="none" w:sz="0" w:space="0" w:color="auto"/>
          </w:divBdr>
        </w:div>
        <w:div w:id="973288225">
          <w:marLeft w:val="0"/>
          <w:marRight w:val="0"/>
          <w:marTop w:val="0"/>
          <w:marBottom w:val="0"/>
          <w:divBdr>
            <w:top w:val="none" w:sz="0" w:space="0" w:color="auto"/>
            <w:left w:val="none" w:sz="0" w:space="0" w:color="auto"/>
            <w:bottom w:val="none" w:sz="0" w:space="0" w:color="auto"/>
            <w:right w:val="none" w:sz="0" w:space="0" w:color="auto"/>
          </w:divBdr>
        </w:div>
        <w:div w:id="1002047540">
          <w:marLeft w:val="0"/>
          <w:marRight w:val="0"/>
          <w:marTop w:val="0"/>
          <w:marBottom w:val="0"/>
          <w:divBdr>
            <w:top w:val="none" w:sz="0" w:space="0" w:color="auto"/>
            <w:left w:val="none" w:sz="0" w:space="0" w:color="auto"/>
            <w:bottom w:val="none" w:sz="0" w:space="0" w:color="auto"/>
            <w:right w:val="none" w:sz="0" w:space="0" w:color="auto"/>
          </w:divBdr>
        </w:div>
        <w:div w:id="1176991857">
          <w:marLeft w:val="0"/>
          <w:marRight w:val="0"/>
          <w:marTop w:val="0"/>
          <w:marBottom w:val="0"/>
          <w:divBdr>
            <w:top w:val="none" w:sz="0" w:space="0" w:color="auto"/>
            <w:left w:val="none" w:sz="0" w:space="0" w:color="auto"/>
            <w:bottom w:val="none" w:sz="0" w:space="0" w:color="auto"/>
            <w:right w:val="none" w:sz="0" w:space="0" w:color="auto"/>
          </w:divBdr>
        </w:div>
        <w:div w:id="1447693822">
          <w:marLeft w:val="0"/>
          <w:marRight w:val="0"/>
          <w:marTop w:val="0"/>
          <w:marBottom w:val="0"/>
          <w:divBdr>
            <w:top w:val="none" w:sz="0" w:space="0" w:color="auto"/>
            <w:left w:val="none" w:sz="0" w:space="0" w:color="auto"/>
            <w:bottom w:val="none" w:sz="0" w:space="0" w:color="auto"/>
            <w:right w:val="none" w:sz="0" w:space="0" w:color="auto"/>
          </w:divBdr>
        </w:div>
        <w:div w:id="1863396282">
          <w:marLeft w:val="0"/>
          <w:marRight w:val="0"/>
          <w:marTop w:val="0"/>
          <w:marBottom w:val="0"/>
          <w:divBdr>
            <w:top w:val="none" w:sz="0" w:space="0" w:color="auto"/>
            <w:left w:val="none" w:sz="0" w:space="0" w:color="auto"/>
            <w:bottom w:val="none" w:sz="0" w:space="0" w:color="auto"/>
            <w:right w:val="none" w:sz="0" w:space="0" w:color="auto"/>
          </w:divBdr>
        </w:div>
        <w:div w:id="2029288605">
          <w:marLeft w:val="0"/>
          <w:marRight w:val="0"/>
          <w:marTop w:val="0"/>
          <w:marBottom w:val="0"/>
          <w:divBdr>
            <w:top w:val="none" w:sz="0" w:space="0" w:color="auto"/>
            <w:left w:val="none" w:sz="0" w:space="0" w:color="auto"/>
            <w:bottom w:val="none" w:sz="0" w:space="0" w:color="auto"/>
            <w:right w:val="none" w:sz="0" w:space="0" w:color="auto"/>
          </w:divBdr>
        </w:div>
      </w:divsChild>
    </w:div>
    <w:div w:id="1174615736">
      <w:bodyDiv w:val="1"/>
      <w:marLeft w:val="0"/>
      <w:marRight w:val="0"/>
      <w:marTop w:val="0"/>
      <w:marBottom w:val="0"/>
      <w:divBdr>
        <w:top w:val="none" w:sz="0" w:space="0" w:color="auto"/>
        <w:left w:val="none" w:sz="0" w:space="0" w:color="auto"/>
        <w:bottom w:val="none" w:sz="0" w:space="0" w:color="auto"/>
        <w:right w:val="none" w:sz="0" w:space="0" w:color="auto"/>
      </w:divBdr>
    </w:div>
    <w:div w:id="1183207226">
      <w:bodyDiv w:val="1"/>
      <w:marLeft w:val="0"/>
      <w:marRight w:val="0"/>
      <w:marTop w:val="0"/>
      <w:marBottom w:val="0"/>
      <w:divBdr>
        <w:top w:val="none" w:sz="0" w:space="0" w:color="auto"/>
        <w:left w:val="none" w:sz="0" w:space="0" w:color="auto"/>
        <w:bottom w:val="none" w:sz="0" w:space="0" w:color="auto"/>
        <w:right w:val="none" w:sz="0" w:space="0" w:color="auto"/>
      </w:divBdr>
    </w:div>
    <w:div w:id="1198393382">
      <w:bodyDiv w:val="1"/>
      <w:marLeft w:val="0"/>
      <w:marRight w:val="0"/>
      <w:marTop w:val="0"/>
      <w:marBottom w:val="0"/>
      <w:divBdr>
        <w:top w:val="none" w:sz="0" w:space="0" w:color="auto"/>
        <w:left w:val="none" w:sz="0" w:space="0" w:color="auto"/>
        <w:bottom w:val="none" w:sz="0" w:space="0" w:color="auto"/>
        <w:right w:val="none" w:sz="0" w:space="0" w:color="auto"/>
      </w:divBdr>
    </w:div>
    <w:div w:id="1215847604">
      <w:bodyDiv w:val="1"/>
      <w:marLeft w:val="0"/>
      <w:marRight w:val="0"/>
      <w:marTop w:val="0"/>
      <w:marBottom w:val="0"/>
      <w:divBdr>
        <w:top w:val="none" w:sz="0" w:space="0" w:color="auto"/>
        <w:left w:val="none" w:sz="0" w:space="0" w:color="auto"/>
        <w:bottom w:val="none" w:sz="0" w:space="0" w:color="auto"/>
        <w:right w:val="none" w:sz="0" w:space="0" w:color="auto"/>
      </w:divBdr>
    </w:div>
    <w:div w:id="1220048013">
      <w:bodyDiv w:val="1"/>
      <w:marLeft w:val="0"/>
      <w:marRight w:val="0"/>
      <w:marTop w:val="0"/>
      <w:marBottom w:val="0"/>
      <w:divBdr>
        <w:top w:val="none" w:sz="0" w:space="0" w:color="auto"/>
        <w:left w:val="none" w:sz="0" w:space="0" w:color="auto"/>
        <w:bottom w:val="none" w:sz="0" w:space="0" w:color="auto"/>
        <w:right w:val="none" w:sz="0" w:space="0" w:color="auto"/>
      </w:divBdr>
    </w:div>
    <w:div w:id="1271863361">
      <w:bodyDiv w:val="1"/>
      <w:marLeft w:val="0"/>
      <w:marRight w:val="0"/>
      <w:marTop w:val="0"/>
      <w:marBottom w:val="0"/>
      <w:divBdr>
        <w:top w:val="none" w:sz="0" w:space="0" w:color="auto"/>
        <w:left w:val="none" w:sz="0" w:space="0" w:color="auto"/>
        <w:bottom w:val="none" w:sz="0" w:space="0" w:color="auto"/>
        <w:right w:val="none" w:sz="0" w:space="0" w:color="auto"/>
      </w:divBdr>
    </w:div>
    <w:div w:id="1273827237">
      <w:bodyDiv w:val="1"/>
      <w:marLeft w:val="0"/>
      <w:marRight w:val="0"/>
      <w:marTop w:val="0"/>
      <w:marBottom w:val="0"/>
      <w:divBdr>
        <w:top w:val="none" w:sz="0" w:space="0" w:color="auto"/>
        <w:left w:val="none" w:sz="0" w:space="0" w:color="auto"/>
        <w:bottom w:val="none" w:sz="0" w:space="0" w:color="auto"/>
        <w:right w:val="none" w:sz="0" w:space="0" w:color="auto"/>
      </w:divBdr>
    </w:div>
    <w:div w:id="1277248564">
      <w:bodyDiv w:val="1"/>
      <w:marLeft w:val="0"/>
      <w:marRight w:val="0"/>
      <w:marTop w:val="0"/>
      <w:marBottom w:val="0"/>
      <w:divBdr>
        <w:top w:val="none" w:sz="0" w:space="0" w:color="auto"/>
        <w:left w:val="none" w:sz="0" w:space="0" w:color="auto"/>
        <w:bottom w:val="none" w:sz="0" w:space="0" w:color="auto"/>
        <w:right w:val="none" w:sz="0" w:space="0" w:color="auto"/>
      </w:divBdr>
    </w:div>
    <w:div w:id="1286428089">
      <w:bodyDiv w:val="1"/>
      <w:marLeft w:val="0"/>
      <w:marRight w:val="0"/>
      <w:marTop w:val="0"/>
      <w:marBottom w:val="0"/>
      <w:divBdr>
        <w:top w:val="none" w:sz="0" w:space="0" w:color="auto"/>
        <w:left w:val="none" w:sz="0" w:space="0" w:color="auto"/>
        <w:bottom w:val="none" w:sz="0" w:space="0" w:color="auto"/>
        <w:right w:val="none" w:sz="0" w:space="0" w:color="auto"/>
      </w:divBdr>
    </w:div>
    <w:div w:id="1289436222">
      <w:bodyDiv w:val="1"/>
      <w:marLeft w:val="0"/>
      <w:marRight w:val="0"/>
      <w:marTop w:val="0"/>
      <w:marBottom w:val="0"/>
      <w:divBdr>
        <w:top w:val="none" w:sz="0" w:space="0" w:color="auto"/>
        <w:left w:val="none" w:sz="0" w:space="0" w:color="auto"/>
        <w:bottom w:val="none" w:sz="0" w:space="0" w:color="auto"/>
        <w:right w:val="none" w:sz="0" w:space="0" w:color="auto"/>
      </w:divBdr>
    </w:div>
    <w:div w:id="1295408287">
      <w:bodyDiv w:val="1"/>
      <w:marLeft w:val="0"/>
      <w:marRight w:val="0"/>
      <w:marTop w:val="0"/>
      <w:marBottom w:val="0"/>
      <w:divBdr>
        <w:top w:val="none" w:sz="0" w:space="0" w:color="auto"/>
        <w:left w:val="none" w:sz="0" w:space="0" w:color="auto"/>
        <w:bottom w:val="none" w:sz="0" w:space="0" w:color="auto"/>
        <w:right w:val="none" w:sz="0" w:space="0" w:color="auto"/>
      </w:divBdr>
      <w:divsChild>
        <w:div w:id="64961944">
          <w:marLeft w:val="0"/>
          <w:marRight w:val="0"/>
          <w:marTop w:val="0"/>
          <w:marBottom w:val="0"/>
          <w:divBdr>
            <w:top w:val="none" w:sz="0" w:space="0" w:color="auto"/>
            <w:left w:val="none" w:sz="0" w:space="0" w:color="auto"/>
            <w:bottom w:val="none" w:sz="0" w:space="0" w:color="auto"/>
            <w:right w:val="none" w:sz="0" w:space="0" w:color="auto"/>
          </w:divBdr>
        </w:div>
        <w:div w:id="105538883">
          <w:marLeft w:val="0"/>
          <w:marRight w:val="0"/>
          <w:marTop w:val="0"/>
          <w:marBottom w:val="0"/>
          <w:divBdr>
            <w:top w:val="none" w:sz="0" w:space="0" w:color="auto"/>
            <w:left w:val="none" w:sz="0" w:space="0" w:color="auto"/>
            <w:bottom w:val="none" w:sz="0" w:space="0" w:color="auto"/>
            <w:right w:val="none" w:sz="0" w:space="0" w:color="auto"/>
          </w:divBdr>
        </w:div>
        <w:div w:id="136143347">
          <w:marLeft w:val="0"/>
          <w:marRight w:val="0"/>
          <w:marTop w:val="0"/>
          <w:marBottom w:val="0"/>
          <w:divBdr>
            <w:top w:val="none" w:sz="0" w:space="0" w:color="auto"/>
            <w:left w:val="none" w:sz="0" w:space="0" w:color="auto"/>
            <w:bottom w:val="none" w:sz="0" w:space="0" w:color="auto"/>
            <w:right w:val="none" w:sz="0" w:space="0" w:color="auto"/>
          </w:divBdr>
        </w:div>
        <w:div w:id="218127622">
          <w:marLeft w:val="0"/>
          <w:marRight w:val="0"/>
          <w:marTop w:val="0"/>
          <w:marBottom w:val="0"/>
          <w:divBdr>
            <w:top w:val="none" w:sz="0" w:space="0" w:color="auto"/>
            <w:left w:val="none" w:sz="0" w:space="0" w:color="auto"/>
            <w:bottom w:val="none" w:sz="0" w:space="0" w:color="auto"/>
            <w:right w:val="none" w:sz="0" w:space="0" w:color="auto"/>
          </w:divBdr>
        </w:div>
        <w:div w:id="246891073">
          <w:marLeft w:val="0"/>
          <w:marRight w:val="0"/>
          <w:marTop w:val="0"/>
          <w:marBottom w:val="0"/>
          <w:divBdr>
            <w:top w:val="none" w:sz="0" w:space="0" w:color="auto"/>
            <w:left w:val="none" w:sz="0" w:space="0" w:color="auto"/>
            <w:bottom w:val="none" w:sz="0" w:space="0" w:color="auto"/>
            <w:right w:val="none" w:sz="0" w:space="0" w:color="auto"/>
          </w:divBdr>
        </w:div>
        <w:div w:id="475613937">
          <w:marLeft w:val="0"/>
          <w:marRight w:val="0"/>
          <w:marTop w:val="0"/>
          <w:marBottom w:val="0"/>
          <w:divBdr>
            <w:top w:val="none" w:sz="0" w:space="0" w:color="auto"/>
            <w:left w:val="none" w:sz="0" w:space="0" w:color="auto"/>
            <w:bottom w:val="none" w:sz="0" w:space="0" w:color="auto"/>
            <w:right w:val="none" w:sz="0" w:space="0" w:color="auto"/>
          </w:divBdr>
        </w:div>
        <w:div w:id="539172356">
          <w:marLeft w:val="0"/>
          <w:marRight w:val="0"/>
          <w:marTop w:val="0"/>
          <w:marBottom w:val="0"/>
          <w:divBdr>
            <w:top w:val="none" w:sz="0" w:space="0" w:color="auto"/>
            <w:left w:val="none" w:sz="0" w:space="0" w:color="auto"/>
            <w:bottom w:val="none" w:sz="0" w:space="0" w:color="auto"/>
            <w:right w:val="none" w:sz="0" w:space="0" w:color="auto"/>
          </w:divBdr>
        </w:div>
        <w:div w:id="743651426">
          <w:marLeft w:val="0"/>
          <w:marRight w:val="0"/>
          <w:marTop w:val="0"/>
          <w:marBottom w:val="0"/>
          <w:divBdr>
            <w:top w:val="none" w:sz="0" w:space="0" w:color="auto"/>
            <w:left w:val="none" w:sz="0" w:space="0" w:color="auto"/>
            <w:bottom w:val="none" w:sz="0" w:space="0" w:color="auto"/>
            <w:right w:val="none" w:sz="0" w:space="0" w:color="auto"/>
          </w:divBdr>
        </w:div>
        <w:div w:id="878589893">
          <w:marLeft w:val="0"/>
          <w:marRight w:val="0"/>
          <w:marTop w:val="0"/>
          <w:marBottom w:val="0"/>
          <w:divBdr>
            <w:top w:val="none" w:sz="0" w:space="0" w:color="auto"/>
            <w:left w:val="none" w:sz="0" w:space="0" w:color="auto"/>
            <w:bottom w:val="none" w:sz="0" w:space="0" w:color="auto"/>
            <w:right w:val="none" w:sz="0" w:space="0" w:color="auto"/>
          </w:divBdr>
        </w:div>
        <w:div w:id="1148669761">
          <w:marLeft w:val="0"/>
          <w:marRight w:val="0"/>
          <w:marTop w:val="0"/>
          <w:marBottom w:val="0"/>
          <w:divBdr>
            <w:top w:val="none" w:sz="0" w:space="0" w:color="auto"/>
            <w:left w:val="none" w:sz="0" w:space="0" w:color="auto"/>
            <w:bottom w:val="none" w:sz="0" w:space="0" w:color="auto"/>
            <w:right w:val="none" w:sz="0" w:space="0" w:color="auto"/>
          </w:divBdr>
        </w:div>
        <w:div w:id="1148789085">
          <w:marLeft w:val="0"/>
          <w:marRight w:val="0"/>
          <w:marTop w:val="0"/>
          <w:marBottom w:val="0"/>
          <w:divBdr>
            <w:top w:val="none" w:sz="0" w:space="0" w:color="auto"/>
            <w:left w:val="none" w:sz="0" w:space="0" w:color="auto"/>
            <w:bottom w:val="none" w:sz="0" w:space="0" w:color="auto"/>
            <w:right w:val="none" w:sz="0" w:space="0" w:color="auto"/>
          </w:divBdr>
        </w:div>
        <w:div w:id="1486362838">
          <w:marLeft w:val="0"/>
          <w:marRight w:val="0"/>
          <w:marTop w:val="0"/>
          <w:marBottom w:val="0"/>
          <w:divBdr>
            <w:top w:val="none" w:sz="0" w:space="0" w:color="auto"/>
            <w:left w:val="none" w:sz="0" w:space="0" w:color="auto"/>
            <w:bottom w:val="none" w:sz="0" w:space="0" w:color="auto"/>
            <w:right w:val="none" w:sz="0" w:space="0" w:color="auto"/>
          </w:divBdr>
        </w:div>
        <w:div w:id="1585869468">
          <w:marLeft w:val="0"/>
          <w:marRight w:val="0"/>
          <w:marTop w:val="0"/>
          <w:marBottom w:val="0"/>
          <w:divBdr>
            <w:top w:val="none" w:sz="0" w:space="0" w:color="auto"/>
            <w:left w:val="none" w:sz="0" w:space="0" w:color="auto"/>
            <w:bottom w:val="none" w:sz="0" w:space="0" w:color="auto"/>
            <w:right w:val="none" w:sz="0" w:space="0" w:color="auto"/>
          </w:divBdr>
        </w:div>
      </w:divsChild>
    </w:div>
    <w:div w:id="1310020200">
      <w:bodyDiv w:val="1"/>
      <w:marLeft w:val="0"/>
      <w:marRight w:val="0"/>
      <w:marTop w:val="0"/>
      <w:marBottom w:val="0"/>
      <w:divBdr>
        <w:top w:val="none" w:sz="0" w:space="0" w:color="auto"/>
        <w:left w:val="none" w:sz="0" w:space="0" w:color="auto"/>
        <w:bottom w:val="none" w:sz="0" w:space="0" w:color="auto"/>
        <w:right w:val="none" w:sz="0" w:space="0" w:color="auto"/>
      </w:divBdr>
    </w:div>
    <w:div w:id="1332292453">
      <w:bodyDiv w:val="1"/>
      <w:marLeft w:val="0"/>
      <w:marRight w:val="0"/>
      <w:marTop w:val="0"/>
      <w:marBottom w:val="0"/>
      <w:divBdr>
        <w:top w:val="none" w:sz="0" w:space="0" w:color="auto"/>
        <w:left w:val="none" w:sz="0" w:space="0" w:color="auto"/>
        <w:bottom w:val="none" w:sz="0" w:space="0" w:color="auto"/>
        <w:right w:val="none" w:sz="0" w:space="0" w:color="auto"/>
      </w:divBdr>
    </w:div>
    <w:div w:id="1334602905">
      <w:bodyDiv w:val="1"/>
      <w:marLeft w:val="0"/>
      <w:marRight w:val="0"/>
      <w:marTop w:val="0"/>
      <w:marBottom w:val="0"/>
      <w:divBdr>
        <w:top w:val="none" w:sz="0" w:space="0" w:color="auto"/>
        <w:left w:val="none" w:sz="0" w:space="0" w:color="auto"/>
        <w:bottom w:val="none" w:sz="0" w:space="0" w:color="auto"/>
        <w:right w:val="none" w:sz="0" w:space="0" w:color="auto"/>
      </w:divBdr>
    </w:div>
    <w:div w:id="1355575863">
      <w:bodyDiv w:val="1"/>
      <w:marLeft w:val="0"/>
      <w:marRight w:val="0"/>
      <w:marTop w:val="0"/>
      <w:marBottom w:val="0"/>
      <w:divBdr>
        <w:top w:val="none" w:sz="0" w:space="0" w:color="auto"/>
        <w:left w:val="none" w:sz="0" w:space="0" w:color="auto"/>
        <w:bottom w:val="none" w:sz="0" w:space="0" w:color="auto"/>
        <w:right w:val="none" w:sz="0" w:space="0" w:color="auto"/>
      </w:divBdr>
    </w:div>
    <w:div w:id="1357075014">
      <w:bodyDiv w:val="1"/>
      <w:marLeft w:val="0"/>
      <w:marRight w:val="0"/>
      <w:marTop w:val="0"/>
      <w:marBottom w:val="0"/>
      <w:divBdr>
        <w:top w:val="none" w:sz="0" w:space="0" w:color="auto"/>
        <w:left w:val="none" w:sz="0" w:space="0" w:color="auto"/>
        <w:bottom w:val="none" w:sz="0" w:space="0" w:color="auto"/>
        <w:right w:val="none" w:sz="0" w:space="0" w:color="auto"/>
      </w:divBdr>
    </w:div>
    <w:div w:id="1369451150">
      <w:bodyDiv w:val="1"/>
      <w:marLeft w:val="0"/>
      <w:marRight w:val="0"/>
      <w:marTop w:val="0"/>
      <w:marBottom w:val="0"/>
      <w:divBdr>
        <w:top w:val="none" w:sz="0" w:space="0" w:color="auto"/>
        <w:left w:val="none" w:sz="0" w:space="0" w:color="auto"/>
        <w:bottom w:val="none" w:sz="0" w:space="0" w:color="auto"/>
        <w:right w:val="none" w:sz="0" w:space="0" w:color="auto"/>
      </w:divBdr>
    </w:div>
    <w:div w:id="1369572235">
      <w:bodyDiv w:val="1"/>
      <w:marLeft w:val="0"/>
      <w:marRight w:val="0"/>
      <w:marTop w:val="0"/>
      <w:marBottom w:val="0"/>
      <w:divBdr>
        <w:top w:val="none" w:sz="0" w:space="0" w:color="auto"/>
        <w:left w:val="none" w:sz="0" w:space="0" w:color="auto"/>
        <w:bottom w:val="none" w:sz="0" w:space="0" w:color="auto"/>
        <w:right w:val="none" w:sz="0" w:space="0" w:color="auto"/>
      </w:divBdr>
      <w:divsChild>
        <w:div w:id="11807881">
          <w:marLeft w:val="0"/>
          <w:marRight w:val="0"/>
          <w:marTop w:val="0"/>
          <w:marBottom w:val="0"/>
          <w:divBdr>
            <w:top w:val="none" w:sz="0" w:space="0" w:color="auto"/>
            <w:left w:val="none" w:sz="0" w:space="0" w:color="auto"/>
            <w:bottom w:val="none" w:sz="0" w:space="0" w:color="auto"/>
            <w:right w:val="none" w:sz="0" w:space="0" w:color="auto"/>
          </w:divBdr>
        </w:div>
        <w:div w:id="23755996">
          <w:marLeft w:val="0"/>
          <w:marRight w:val="0"/>
          <w:marTop w:val="0"/>
          <w:marBottom w:val="0"/>
          <w:divBdr>
            <w:top w:val="none" w:sz="0" w:space="0" w:color="auto"/>
            <w:left w:val="none" w:sz="0" w:space="0" w:color="auto"/>
            <w:bottom w:val="none" w:sz="0" w:space="0" w:color="auto"/>
            <w:right w:val="none" w:sz="0" w:space="0" w:color="auto"/>
          </w:divBdr>
        </w:div>
        <w:div w:id="24065028">
          <w:marLeft w:val="0"/>
          <w:marRight w:val="0"/>
          <w:marTop w:val="0"/>
          <w:marBottom w:val="0"/>
          <w:divBdr>
            <w:top w:val="none" w:sz="0" w:space="0" w:color="auto"/>
            <w:left w:val="none" w:sz="0" w:space="0" w:color="auto"/>
            <w:bottom w:val="none" w:sz="0" w:space="0" w:color="auto"/>
            <w:right w:val="none" w:sz="0" w:space="0" w:color="auto"/>
          </w:divBdr>
        </w:div>
        <w:div w:id="91515811">
          <w:marLeft w:val="0"/>
          <w:marRight w:val="0"/>
          <w:marTop w:val="0"/>
          <w:marBottom w:val="0"/>
          <w:divBdr>
            <w:top w:val="none" w:sz="0" w:space="0" w:color="auto"/>
            <w:left w:val="none" w:sz="0" w:space="0" w:color="auto"/>
            <w:bottom w:val="none" w:sz="0" w:space="0" w:color="auto"/>
            <w:right w:val="none" w:sz="0" w:space="0" w:color="auto"/>
          </w:divBdr>
        </w:div>
        <w:div w:id="108202716">
          <w:marLeft w:val="0"/>
          <w:marRight w:val="0"/>
          <w:marTop w:val="0"/>
          <w:marBottom w:val="0"/>
          <w:divBdr>
            <w:top w:val="none" w:sz="0" w:space="0" w:color="auto"/>
            <w:left w:val="none" w:sz="0" w:space="0" w:color="auto"/>
            <w:bottom w:val="none" w:sz="0" w:space="0" w:color="auto"/>
            <w:right w:val="none" w:sz="0" w:space="0" w:color="auto"/>
          </w:divBdr>
        </w:div>
        <w:div w:id="147137119">
          <w:marLeft w:val="0"/>
          <w:marRight w:val="0"/>
          <w:marTop w:val="0"/>
          <w:marBottom w:val="0"/>
          <w:divBdr>
            <w:top w:val="none" w:sz="0" w:space="0" w:color="auto"/>
            <w:left w:val="none" w:sz="0" w:space="0" w:color="auto"/>
            <w:bottom w:val="none" w:sz="0" w:space="0" w:color="auto"/>
            <w:right w:val="none" w:sz="0" w:space="0" w:color="auto"/>
          </w:divBdr>
        </w:div>
        <w:div w:id="147718886">
          <w:marLeft w:val="0"/>
          <w:marRight w:val="0"/>
          <w:marTop w:val="0"/>
          <w:marBottom w:val="0"/>
          <w:divBdr>
            <w:top w:val="none" w:sz="0" w:space="0" w:color="auto"/>
            <w:left w:val="none" w:sz="0" w:space="0" w:color="auto"/>
            <w:bottom w:val="none" w:sz="0" w:space="0" w:color="auto"/>
            <w:right w:val="none" w:sz="0" w:space="0" w:color="auto"/>
          </w:divBdr>
        </w:div>
        <w:div w:id="197207626">
          <w:marLeft w:val="0"/>
          <w:marRight w:val="0"/>
          <w:marTop w:val="0"/>
          <w:marBottom w:val="0"/>
          <w:divBdr>
            <w:top w:val="none" w:sz="0" w:space="0" w:color="auto"/>
            <w:left w:val="none" w:sz="0" w:space="0" w:color="auto"/>
            <w:bottom w:val="none" w:sz="0" w:space="0" w:color="auto"/>
            <w:right w:val="none" w:sz="0" w:space="0" w:color="auto"/>
          </w:divBdr>
        </w:div>
        <w:div w:id="217130004">
          <w:marLeft w:val="0"/>
          <w:marRight w:val="0"/>
          <w:marTop w:val="0"/>
          <w:marBottom w:val="0"/>
          <w:divBdr>
            <w:top w:val="none" w:sz="0" w:space="0" w:color="auto"/>
            <w:left w:val="none" w:sz="0" w:space="0" w:color="auto"/>
            <w:bottom w:val="none" w:sz="0" w:space="0" w:color="auto"/>
            <w:right w:val="none" w:sz="0" w:space="0" w:color="auto"/>
          </w:divBdr>
        </w:div>
        <w:div w:id="320618317">
          <w:marLeft w:val="0"/>
          <w:marRight w:val="0"/>
          <w:marTop w:val="0"/>
          <w:marBottom w:val="0"/>
          <w:divBdr>
            <w:top w:val="none" w:sz="0" w:space="0" w:color="auto"/>
            <w:left w:val="none" w:sz="0" w:space="0" w:color="auto"/>
            <w:bottom w:val="none" w:sz="0" w:space="0" w:color="auto"/>
            <w:right w:val="none" w:sz="0" w:space="0" w:color="auto"/>
          </w:divBdr>
        </w:div>
        <w:div w:id="323096890">
          <w:marLeft w:val="0"/>
          <w:marRight w:val="0"/>
          <w:marTop w:val="0"/>
          <w:marBottom w:val="0"/>
          <w:divBdr>
            <w:top w:val="none" w:sz="0" w:space="0" w:color="auto"/>
            <w:left w:val="none" w:sz="0" w:space="0" w:color="auto"/>
            <w:bottom w:val="none" w:sz="0" w:space="0" w:color="auto"/>
            <w:right w:val="none" w:sz="0" w:space="0" w:color="auto"/>
          </w:divBdr>
        </w:div>
        <w:div w:id="350841613">
          <w:marLeft w:val="0"/>
          <w:marRight w:val="0"/>
          <w:marTop w:val="0"/>
          <w:marBottom w:val="0"/>
          <w:divBdr>
            <w:top w:val="none" w:sz="0" w:space="0" w:color="auto"/>
            <w:left w:val="none" w:sz="0" w:space="0" w:color="auto"/>
            <w:bottom w:val="none" w:sz="0" w:space="0" w:color="auto"/>
            <w:right w:val="none" w:sz="0" w:space="0" w:color="auto"/>
          </w:divBdr>
        </w:div>
        <w:div w:id="371807111">
          <w:marLeft w:val="0"/>
          <w:marRight w:val="0"/>
          <w:marTop w:val="0"/>
          <w:marBottom w:val="0"/>
          <w:divBdr>
            <w:top w:val="none" w:sz="0" w:space="0" w:color="auto"/>
            <w:left w:val="none" w:sz="0" w:space="0" w:color="auto"/>
            <w:bottom w:val="none" w:sz="0" w:space="0" w:color="auto"/>
            <w:right w:val="none" w:sz="0" w:space="0" w:color="auto"/>
          </w:divBdr>
        </w:div>
        <w:div w:id="387655930">
          <w:marLeft w:val="0"/>
          <w:marRight w:val="0"/>
          <w:marTop w:val="0"/>
          <w:marBottom w:val="0"/>
          <w:divBdr>
            <w:top w:val="none" w:sz="0" w:space="0" w:color="auto"/>
            <w:left w:val="none" w:sz="0" w:space="0" w:color="auto"/>
            <w:bottom w:val="none" w:sz="0" w:space="0" w:color="auto"/>
            <w:right w:val="none" w:sz="0" w:space="0" w:color="auto"/>
          </w:divBdr>
        </w:div>
        <w:div w:id="484979769">
          <w:marLeft w:val="0"/>
          <w:marRight w:val="0"/>
          <w:marTop w:val="0"/>
          <w:marBottom w:val="0"/>
          <w:divBdr>
            <w:top w:val="none" w:sz="0" w:space="0" w:color="auto"/>
            <w:left w:val="none" w:sz="0" w:space="0" w:color="auto"/>
            <w:bottom w:val="none" w:sz="0" w:space="0" w:color="auto"/>
            <w:right w:val="none" w:sz="0" w:space="0" w:color="auto"/>
          </w:divBdr>
        </w:div>
        <w:div w:id="509370764">
          <w:marLeft w:val="0"/>
          <w:marRight w:val="0"/>
          <w:marTop w:val="0"/>
          <w:marBottom w:val="0"/>
          <w:divBdr>
            <w:top w:val="none" w:sz="0" w:space="0" w:color="auto"/>
            <w:left w:val="none" w:sz="0" w:space="0" w:color="auto"/>
            <w:bottom w:val="none" w:sz="0" w:space="0" w:color="auto"/>
            <w:right w:val="none" w:sz="0" w:space="0" w:color="auto"/>
          </w:divBdr>
        </w:div>
        <w:div w:id="516235015">
          <w:marLeft w:val="0"/>
          <w:marRight w:val="0"/>
          <w:marTop w:val="0"/>
          <w:marBottom w:val="0"/>
          <w:divBdr>
            <w:top w:val="none" w:sz="0" w:space="0" w:color="auto"/>
            <w:left w:val="none" w:sz="0" w:space="0" w:color="auto"/>
            <w:bottom w:val="none" w:sz="0" w:space="0" w:color="auto"/>
            <w:right w:val="none" w:sz="0" w:space="0" w:color="auto"/>
          </w:divBdr>
        </w:div>
        <w:div w:id="578950113">
          <w:marLeft w:val="0"/>
          <w:marRight w:val="0"/>
          <w:marTop w:val="0"/>
          <w:marBottom w:val="0"/>
          <w:divBdr>
            <w:top w:val="none" w:sz="0" w:space="0" w:color="auto"/>
            <w:left w:val="none" w:sz="0" w:space="0" w:color="auto"/>
            <w:bottom w:val="none" w:sz="0" w:space="0" w:color="auto"/>
            <w:right w:val="none" w:sz="0" w:space="0" w:color="auto"/>
          </w:divBdr>
        </w:div>
        <w:div w:id="605041605">
          <w:marLeft w:val="0"/>
          <w:marRight w:val="0"/>
          <w:marTop w:val="0"/>
          <w:marBottom w:val="0"/>
          <w:divBdr>
            <w:top w:val="none" w:sz="0" w:space="0" w:color="auto"/>
            <w:left w:val="none" w:sz="0" w:space="0" w:color="auto"/>
            <w:bottom w:val="none" w:sz="0" w:space="0" w:color="auto"/>
            <w:right w:val="none" w:sz="0" w:space="0" w:color="auto"/>
          </w:divBdr>
        </w:div>
        <w:div w:id="625936503">
          <w:marLeft w:val="0"/>
          <w:marRight w:val="0"/>
          <w:marTop w:val="0"/>
          <w:marBottom w:val="0"/>
          <w:divBdr>
            <w:top w:val="none" w:sz="0" w:space="0" w:color="auto"/>
            <w:left w:val="none" w:sz="0" w:space="0" w:color="auto"/>
            <w:bottom w:val="none" w:sz="0" w:space="0" w:color="auto"/>
            <w:right w:val="none" w:sz="0" w:space="0" w:color="auto"/>
          </w:divBdr>
        </w:div>
        <w:div w:id="626931313">
          <w:marLeft w:val="0"/>
          <w:marRight w:val="0"/>
          <w:marTop w:val="0"/>
          <w:marBottom w:val="0"/>
          <w:divBdr>
            <w:top w:val="none" w:sz="0" w:space="0" w:color="auto"/>
            <w:left w:val="none" w:sz="0" w:space="0" w:color="auto"/>
            <w:bottom w:val="none" w:sz="0" w:space="0" w:color="auto"/>
            <w:right w:val="none" w:sz="0" w:space="0" w:color="auto"/>
          </w:divBdr>
        </w:div>
        <w:div w:id="628586067">
          <w:marLeft w:val="0"/>
          <w:marRight w:val="0"/>
          <w:marTop w:val="0"/>
          <w:marBottom w:val="0"/>
          <w:divBdr>
            <w:top w:val="none" w:sz="0" w:space="0" w:color="auto"/>
            <w:left w:val="none" w:sz="0" w:space="0" w:color="auto"/>
            <w:bottom w:val="none" w:sz="0" w:space="0" w:color="auto"/>
            <w:right w:val="none" w:sz="0" w:space="0" w:color="auto"/>
          </w:divBdr>
        </w:div>
        <w:div w:id="633995488">
          <w:marLeft w:val="0"/>
          <w:marRight w:val="0"/>
          <w:marTop w:val="0"/>
          <w:marBottom w:val="0"/>
          <w:divBdr>
            <w:top w:val="none" w:sz="0" w:space="0" w:color="auto"/>
            <w:left w:val="none" w:sz="0" w:space="0" w:color="auto"/>
            <w:bottom w:val="none" w:sz="0" w:space="0" w:color="auto"/>
            <w:right w:val="none" w:sz="0" w:space="0" w:color="auto"/>
          </w:divBdr>
        </w:div>
        <w:div w:id="654647004">
          <w:marLeft w:val="0"/>
          <w:marRight w:val="0"/>
          <w:marTop w:val="0"/>
          <w:marBottom w:val="0"/>
          <w:divBdr>
            <w:top w:val="none" w:sz="0" w:space="0" w:color="auto"/>
            <w:left w:val="none" w:sz="0" w:space="0" w:color="auto"/>
            <w:bottom w:val="none" w:sz="0" w:space="0" w:color="auto"/>
            <w:right w:val="none" w:sz="0" w:space="0" w:color="auto"/>
          </w:divBdr>
        </w:div>
        <w:div w:id="654917602">
          <w:marLeft w:val="0"/>
          <w:marRight w:val="0"/>
          <w:marTop w:val="0"/>
          <w:marBottom w:val="0"/>
          <w:divBdr>
            <w:top w:val="none" w:sz="0" w:space="0" w:color="auto"/>
            <w:left w:val="none" w:sz="0" w:space="0" w:color="auto"/>
            <w:bottom w:val="none" w:sz="0" w:space="0" w:color="auto"/>
            <w:right w:val="none" w:sz="0" w:space="0" w:color="auto"/>
          </w:divBdr>
        </w:div>
        <w:div w:id="715743035">
          <w:marLeft w:val="0"/>
          <w:marRight w:val="0"/>
          <w:marTop w:val="0"/>
          <w:marBottom w:val="0"/>
          <w:divBdr>
            <w:top w:val="none" w:sz="0" w:space="0" w:color="auto"/>
            <w:left w:val="none" w:sz="0" w:space="0" w:color="auto"/>
            <w:bottom w:val="none" w:sz="0" w:space="0" w:color="auto"/>
            <w:right w:val="none" w:sz="0" w:space="0" w:color="auto"/>
          </w:divBdr>
        </w:div>
        <w:div w:id="717434325">
          <w:marLeft w:val="0"/>
          <w:marRight w:val="0"/>
          <w:marTop w:val="0"/>
          <w:marBottom w:val="0"/>
          <w:divBdr>
            <w:top w:val="none" w:sz="0" w:space="0" w:color="auto"/>
            <w:left w:val="none" w:sz="0" w:space="0" w:color="auto"/>
            <w:bottom w:val="none" w:sz="0" w:space="0" w:color="auto"/>
            <w:right w:val="none" w:sz="0" w:space="0" w:color="auto"/>
          </w:divBdr>
        </w:div>
        <w:div w:id="717584447">
          <w:marLeft w:val="0"/>
          <w:marRight w:val="0"/>
          <w:marTop w:val="0"/>
          <w:marBottom w:val="0"/>
          <w:divBdr>
            <w:top w:val="none" w:sz="0" w:space="0" w:color="auto"/>
            <w:left w:val="none" w:sz="0" w:space="0" w:color="auto"/>
            <w:bottom w:val="none" w:sz="0" w:space="0" w:color="auto"/>
            <w:right w:val="none" w:sz="0" w:space="0" w:color="auto"/>
          </w:divBdr>
        </w:div>
        <w:div w:id="725298779">
          <w:marLeft w:val="0"/>
          <w:marRight w:val="0"/>
          <w:marTop w:val="0"/>
          <w:marBottom w:val="0"/>
          <w:divBdr>
            <w:top w:val="none" w:sz="0" w:space="0" w:color="auto"/>
            <w:left w:val="none" w:sz="0" w:space="0" w:color="auto"/>
            <w:bottom w:val="none" w:sz="0" w:space="0" w:color="auto"/>
            <w:right w:val="none" w:sz="0" w:space="0" w:color="auto"/>
          </w:divBdr>
        </w:div>
        <w:div w:id="733545775">
          <w:marLeft w:val="0"/>
          <w:marRight w:val="0"/>
          <w:marTop w:val="0"/>
          <w:marBottom w:val="0"/>
          <w:divBdr>
            <w:top w:val="none" w:sz="0" w:space="0" w:color="auto"/>
            <w:left w:val="none" w:sz="0" w:space="0" w:color="auto"/>
            <w:bottom w:val="none" w:sz="0" w:space="0" w:color="auto"/>
            <w:right w:val="none" w:sz="0" w:space="0" w:color="auto"/>
          </w:divBdr>
        </w:div>
        <w:div w:id="779226389">
          <w:marLeft w:val="0"/>
          <w:marRight w:val="0"/>
          <w:marTop w:val="0"/>
          <w:marBottom w:val="0"/>
          <w:divBdr>
            <w:top w:val="none" w:sz="0" w:space="0" w:color="auto"/>
            <w:left w:val="none" w:sz="0" w:space="0" w:color="auto"/>
            <w:bottom w:val="none" w:sz="0" w:space="0" w:color="auto"/>
            <w:right w:val="none" w:sz="0" w:space="0" w:color="auto"/>
          </w:divBdr>
        </w:div>
        <w:div w:id="789936071">
          <w:marLeft w:val="0"/>
          <w:marRight w:val="0"/>
          <w:marTop w:val="0"/>
          <w:marBottom w:val="0"/>
          <w:divBdr>
            <w:top w:val="none" w:sz="0" w:space="0" w:color="auto"/>
            <w:left w:val="none" w:sz="0" w:space="0" w:color="auto"/>
            <w:bottom w:val="none" w:sz="0" w:space="0" w:color="auto"/>
            <w:right w:val="none" w:sz="0" w:space="0" w:color="auto"/>
          </w:divBdr>
        </w:div>
        <w:div w:id="799808725">
          <w:marLeft w:val="0"/>
          <w:marRight w:val="0"/>
          <w:marTop w:val="0"/>
          <w:marBottom w:val="0"/>
          <w:divBdr>
            <w:top w:val="none" w:sz="0" w:space="0" w:color="auto"/>
            <w:left w:val="none" w:sz="0" w:space="0" w:color="auto"/>
            <w:bottom w:val="none" w:sz="0" w:space="0" w:color="auto"/>
            <w:right w:val="none" w:sz="0" w:space="0" w:color="auto"/>
          </w:divBdr>
        </w:div>
        <w:div w:id="803545548">
          <w:marLeft w:val="0"/>
          <w:marRight w:val="0"/>
          <w:marTop w:val="0"/>
          <w:marBottom w:val="0"/>
          <w:divBdr>
            <w:top w:val="none" w:sz="0" w:space="0" w:color="auto"/>
            <w:left w:val="none" w:sz="0" w:space="0" w:color="auto"/>
            <w:bottom w:val="none" w:sz="0" w:space="0" w:color="auto"/>
            <w:right w:val="none" w:sz="0" w:space="0" w:color="auto"/>
          </w:divBdr>
        </w:div>
        <w:div w:id="870728471">
          <w:marLeft w:val="0"/>
          <w:marRight w:val="0"/>
          <w:marTop w:val="0"/>
          <w:marBottom w:val="0"/>
          <w:divBdr>
            <w:top w:val="none" w:sz="0" w:space="0" w:color="auto"/>
            <w:left w:val="none" w:sz="0" w:space="0" w:color="auto"/>
            <w:bottom w:val="none" w:sz="0" w:space="0" w:color="auto"/>
            <w:right w:val="none" w:sz="0" w:space="0" w:color="auto"/>
          </w:divBdr>
        </w:div>
        <w:div w:id="873349657">
          <w:marLeft w:val="0"/>
          <w:marRight w:val="0"/>
          <w:marTop w:val="0"/>
          <w:marBottom w:val="0"/>
          <w:divBdr>
            <w:top w:val="none" w:sz="0" w:space="0" w:color="auto"/>
            <w:left w:val="none" w:sz="0" w:space="0" w:color="auto"/>
            <w:bottom w:val="none" w:sz="0" w:space="0" w:color="auto"/>
            <w:right w:val="none" w:sz="0" w:space="0" w:color="auto"/>
          </w:divBdr>
        </w:div>
        <w:div w:id="926037059">
          <w:marLeft w:val="0"/>
          <w:marRight w:val="0"/>
          <w:marTop w:val="0"/>
          <w:marBottom w:val="0"/>
          <w:divBdr>
            <w:top w:val="none" w:sz="0" w:space="0" w:color="auto"/>
            <w:left w:val="none" w:sz="0" w:space="0" w:color="auto"/>
            <w:bottom w:val="none" w:sz="0" w:space="0" w:color="auto"/>
            <w:right w:val="none" w:sz="0" w:space="0" w:color="auto"/>
          </w:divBdr>
        </w:div>
        <w:div w:id="943728152">
          <w:marLeft w:val="0"/>
          <w:marRight w:val="0"/>
          <w:marTop w:val="0"/>
          <w:marBottom w:val="0"/>
          <w:divBdr>
            <w:top w:val="none" w:sz="0" w:space="0" w:color="auto"/>
            <w:left w:val="none" w:sz="0" w:space="0" w:color="auto"/>
            <w:bottom w:val="none" w:sz="0" w:space="0" w:color="auto"/>
            <w:right w:val="none" w:sz="0" w:space="0" w:color="auto"/>
          </w:divBdr>
        </w:div>
        <w:div w:id="951938612">
          <w:marLeft w:val="0"/>
          <w:marRight w:val="0"/>
          <w:marTop w:val="0"/>
          <w:marBottom w:val="0"/>
          <w:divBdr>
            <w:top w:val="none" w:sz="0" w:space="0" w:color="auto"/>
            <w:left w:val="none" w:sz="0" w:space="0" w:color="auto"/>
            <w:bottom w:val="none" w:sz="0" w:space="0" w:color="auto"/>
            <w:right w:val="none" w:sz="0" w:space="0" w:color="auto"/>
          </w:divBdr>
        </w:div>
        <w:div w:id="1058895214">
          <w:marLeft w:val="0"/>
          <w:marRight w:val="0"/>
          <w:marTop w:val="0"/>
          <w:marBottom w:val="0"/>
          <w:divBdr>
            <w:top w:val="none" w:sz="0" w:space="0" w:color="auto"/>
            <w:left w:val="none" w:sz="0" w:space="0" w:color="auto"/>
            <w:bottom w:val="none" w:sz="0" w:space="0" w:color="auto"/>
            <w:right w:val="none" w:sz="0" w:space="0" w:color="auto"/>
          </w:divBdr>
        </w:div>
        <w:div w:id="1112867125">
          <w:marLeft w:val="0"/>
          <w:marRight w:val="0"/>
          <w:marTop w:val="0"/>
          <w:marBottom w:val="0"/>
          <w:divBdr>
            <w:top w:val="none" w:sz="0" w:space="0" w:color="auto"/>
            <w:left w:val="none" w:sz="0" w:space="0" w:color="auto"/>
            <w:bottom w:val="none" w:sz="0" w:space="0" w:color="auto"/>
            <w:right w:val="none" w:sz="0" w:space="0" w:color="auto"/>
          </w:divBdr>
        </w:div>
        <w:div w:id="1317302563">
          <w:marLeft w:val="0"/>
          <w:marRight w:val="0"/>
          <w:marTop w:val="0"/>
          <w:marBottom w:val="0"/>
          <w:divBdr>
            <w:top w:val="none" w:sz="0" w:space="0" w:color="auto"/>
            <w:left w:val="none" w:sz="0" w:space="0" w:color="auto"/>
            <w:bottom w:val="none" w:sz="0" w:space="0" w:color="auto"/>
            <w:right w:val="none" w:sz="0" w:space="0" w:color="auto"/>
          </w:divBdr>
        </w:div>
        <w:div w:id="1335570195">
          <w:marLeft w:val="0"/>
          <w:marRight w:val="0"/>
          <w:marTop w:val="0"/>
          <w:marBottom w:val="0"/>
          <w:divBdr>
            <w:top w:val="none" w:sz="0" w:space="0" w:color="auto"/>
            <w:left w:val="none" w:sz="0" w:space="0" w:color="auto"/>
            <w:bottom w:val="none" w:sz="0" w:space="0" w:color="auto"/>
            <w:right w:val="none" w:sz="0" w:space="0" w:color="auto"/>
          </w:divBdr>
        </w:div>
        <w:div w:id="1336222232">
          <w:marLeft w:val="0"/>
          <w:marRight w:val="0"/>
          <w:marTop w:val="0"/>
          <w:marBottom w:val="0"/>
          <w:divBdr>
            <w:top w:val="none" w:sz="0" w:space="0" w:color="auto"/>
            <w:left w:val="none" w:sz="0" w:space="0" w:color="auto"/>
            <w:bottom w:val="none" w:sz="0" w:space="0" w:color="auto"/>
            <w:right w:val="none" w:sz="0" w:space="0" w:color="auto"/>
          </w:divBdr>
        </w:div>
        <w:div w:id="1392776654">
          <w:marLeft w:val="0"/>
          <w:marRight w:val="0"/>
          <w:marTop w:val="0"/>
          <w:marBottom w:val="0"/>
          <w:divBdr>
            <w:top w:val="none" w:sz="0" w:space="0" w:color="auto"/>
            <w:left w:val="none" w:sz="0" w:space="0" w:color="auto"/>
            <w:bottom w:val="none" w:sz="0" w:space="0" w:color="auto"/>
            <w:right w:val="none" w:sz="0" w:space="0" w:color="auto"/>
          </w:divBdr>
        </w:div>
        <w:div w:id="1429617436">
          <w:marLeft w:val="0"/>
          <w:marRight w:val="0"/>
          <w:marTop w:val="0"/>
          <w:marBottom w:val="0"/>
          <w:divBdr>
            <w:top w:val="none" w:sz="0" w:space="0" w:color="auto"/>
            <w:left w:val="none" w:sz="0" w:space="0" w:color="auto"/>
            <w:bottom w:val="none" w:sz="0" w:space="0" w:color="auto"/>
            <w:right w:val="none" w:sz="0" w:space="0" w:color="auto"/>
          </w:divBdr>
        </w:div>
        <w:div w:id="1434940800">
          <w:marLeft w:val="0"/>
          <w:marRight w:val="0"/>
          <w:marTop w:val="0"/>
          <w:marBottom w:val="0"/>
          <w:divBdr>
            <w:top w:val="none" w:sz="0" w:space="0" w:color="auto"/>
            <w:left w:val="none" w:sz="0" w:space="0" w:color="auto"/>
            <w:bottom w:val="none" w:sz="0" w:space="0" w:color="auto"/>
            <w:right w:val="none" w:sz="0" w:space="0" w:color="auto"/>
          </w:divBdr>
        </w:div>
        <w:div w:id="1436025480">
          <w:marLeft w:val="0"/>
          <w:marRight w:val="0"/>
          <w:marTop w:val="0"/>
          <w:marBottom w:val="0"/>
          <w:divBdr>
            <w:top w:val="none" w:sz="0" w:space="0" w:color="auto"/>
            <w:left w:val="none" w:sz="0" w:space="0" w:color="auto"/>
            <w:bottom w:val="none" w:sz="0" w:space="0" w:color="auto"/>
            <w:right w:val="none" w:sz="0" w:space="0" w:color="auto"/>
          </w:divBdr>
        </w:div>
        <w:div w:id="1480462377">
          <w:marLeft w:val="0"/>
          <w:marRight w:val="0"/>
          <w:marTop w:val="0"/>
          <w:marBottom w:val="0"/>
          <w:divBdr>
            <w:top w:val="none" w:sz="0" w:space="0" w:color="auto"/>
            <w:left w:val="none" w:sz="0" w:space="0" w:color="auto"/>
            <w:bottom w:val="none" w:sz="0" w:space="0" w:color="auto"/>
            <w:right w:val="none" w:sz="0" w:space="0" w:color="auto"/>
          </w:divBdr>
        </w:div>
        <w:div w:id="1532259456">
          <w:marLeft w:val="0"/>
          <w:marRight w:val="0"/>
          <w:marTop w:val="0"/>
          <w:marBottom w:val="0"/>
          <w:divBdr>
            <w:top w:val="none" w:sz="0" w:space="0" w:color="auto"/>
            <w:left w:val="none" w:sz="0" w:space="0" w:color="auto"/>
            <w:bottom w:val="none" w:sz="0" w:space="0" w:color="auto"/>
            <w:right w:val="none" w:sz="0" w:space="0" w:color="auto"/>
          </w:divBdr>
        </w:div>
        <w:div w:id="1615212324">
          <w:marLeft w:val="0"/>
          <w:marRight w:val="0"/>
          <w:marTop w:val="0"/>
          <w:marBottom w:val="0"/>
          <w:divBdr>
            <w:top w:val="none" w:sz="0" w:space="0" w:color="auto"/>
            <w:left w:val="none" w:sz="0" w:space="0" w:color="auto"/>
            <w:bottom w:val="none" w:sz="0" w:space="0" w:color="auto"/>
            <w:right w:val="none" w:sz="0" w:space="0" w:color="auto"/>
          </w:divBdr>
        </w:div>
        <w:div w:id="1738285341">
          <w:marLeft w:val="0"/>
          <w:marRight w:val="0"/>
          <w:marTop w:val="0"/>
          <w:marBottom w:val="0"/>
          <w:divBdr>
            <w:top w:val="none" w:sz="0" w:space="0" w:color="auto"/>
            <w:left w:val="none" w:sz="0" w:space="0" w:color="auto"/>
            <w:bottom w:val="none" w:sz="0" w:space="0" w:color="auto"/>
            <w:right w:val="none" w:sz="0" w:space="0" w:color="auto"/>
          </w:divBdr>
        </w:div>
        <w:div w:id="1741709600">
          <w:marLeft w:val="0"/>
          <w:marRight w:val="0"/>
          <w:marTop w:val="0"/>
          <w:marBottom w:val="0"/>
          <w:divBdr>
            <w:top w:val="none" w:sz="0" w:space="0" w:color="auto"/>
            <w:left w:val="none" w:sz="0" w:space="0" w:color="auto"/>
            <w:bottom w:val="none" w:sz="0" w:space="0" w:color="auto"/>
            <w:right w:val="none" w:sz="0" w:space="0" w:color="auto"/>
          </w:divBdr>
        </w:div>
        <w:div w:id="1742556877">
          <w:marLeft w:val="0"/>
          <w:marRight w:val="0"/>
          <w:marTop w:val="0"/>
          <w:marBottom w:val="0"/>
          <w:divBdr>
            <w:top w:val="none" w:sz="0" w:space="0" w:color="auto"/>
            <w:left w:val="none" w:sz="0" w:space="0" w:color="auto"/>
            <w:bottom w:val="none" w:sz="0" w:space="0" w:color="auto"/>
            <w:right w:val="none" w:sz="0" w:space="0" w:color="auto"/>
          </w:divBdr>
        </w:div>
        <w:div w:id="1744722090">
          <w:marLeft w:val="0"/>
          <w:marRight w:val="0"/>
          <w:marTop w:val="0"/>
          <w:marBottom w:val="0"/>
          <w:divBdr>
            <w:top w:val="none" w:sz="0" w:space="0" w:color="auto"/>
            <w:left w:val="none" w:sz="0" w:space="0" w:color="auto"/>
            <w:bottom w:val="none" w:sz="0" w:space="0" w:color="auto"/>
            <w:right w:val="none" w:sz="0" w:space="0" w:color="auto"/>
          </w:divBdr>
        </w:div>
        <w:div w:id="1771312761">
          <w:marLeft w:val="0"/>
          <w:marRight w:val="0"/>
          <w:marTop w:val="0"/>
          <w:marBottom w:val="0"/>
          <w:divBdr>
            <w:top w:val="none" w:sz="0" w:space="0" w:color="auto"/>
            <w:left w:val="none" w:sz="0" w:space="0" w:color="auto"/>
            <w:bottom w:val="none" w:sz="0" w:space="0" w:color="auto"/>
            <w:right w:val="none" w:sz="0" w:space="0" w:color="auto"/>
          </w:divBdr>
        </w:div>
        <w:div w:id="1798990746">
          <w:marLeft w:val="0"/>
          <w:marRight w:val="0"/>
          <w:marTop w:val="0"/>
          <w:marBottom w:val="0"/>
          <w:divBdr>
            <w:top w:val="none" w:sz="0" w:space="0" w:color="auto"/>
            <w:left w:val="none" w:sz="0" w:space="0" w:color="auto"/>
            <w:bottom w:val="none" w:sz="0" w:space="0" w:color="auto"/>
            <w:right w:val="none" w:sz="0" w:space="0" w:color="auto"/>
          </w:divBdr>
        </w:div>
        <w:div w:id="1832989224">
          <w:marLeft w:val="0"/>
          <w:marRight w:val="0"/>
          <w:marTop w:val="0"/>
          <w:marBottom w:val="0"/>
          <w:divBdr>
            <w:top w:val="none" w:sz="0" w:space="0" w:color="auto"/>
            <w:left w:val="none" w:sz="0" w:space="0" w:color="auto"/>
            <w:bottom w:val="none" w:sz="0" w:space="0" w:color="auto"/>
            <w:right w:val="none" w:sz="0" w:space="0" w:color="auto"/>
          </w:divBdr>
        </w:div>
        <w:div w:id="1835149285">
          <w:marLeft w:val="0"/>
          <w:marRight w:val="0"/>
          <w:marTop w:val="0"/>
          <w:marBottom w:val="0"/>
          <w:divBdr>
            <w:top w:val="none" w:sz="0" w:space="0" w:color="auto"/>
            <w:left w:val="none" w:sz="0" w:space="0" w:color="auto"/>
            <w:bottom w:val="none" w:sz="0" w:space="0" w:color="auto"/>
            <w:right w:val="none" w:sz="0" w:space="0" w:color="auto"/>
          </w:divBdr>
        </w:div>
        <w:div w:id="1845395359">
          <w:marLeft w:val="0"/>
          <w:marRight w:val="0"/>
          <w:marTop w:val="0"/>
          <w:marBottom w:val="0"/>
          <w:divBdr>
            <w:top w:val="none" w:sz="0" w:space="0" w:color="auto"/>
            <w:left w:val="none" w:sz="0" w:space="0" w:color="auto"/>
            <w:bottom w:val="none" w:sz="0" w:space="0" w:color="auto"/>
            <w:right w:val="none" w:sz="0" w:space="0" w:color="auto"/>
          </w:divBdr>
        </w:div>
        <w:div w:id="1871600675">
          <w:marLeft w:val="0"/>
          <w:marRight w:val="0"/>
          <w:marTop w:val="0"/>
          <w:marBottom w:val="0"/>
          <w:divBdr>
            <w:top w:val="none" w:sz="0" w:space="0" w:color="auto"/>
            <w:left w:val="none" w:sz="0" w:space="0" w:color="auto"/>
            <w:bottom w:val="none" w:sz="0" w:space="0" w:color="auto"/>
            <w:right w:val="none" w:sz="0" w:space="0" w:color="auto"/>
          </w:divBdr>
        </w:div>
        <w:div w:id="2005425166">
          <w:marLeft w:val="0"/>
          <w:marRight w:val="0"/>
          <w:marTop w:val="0"/>
          <w:marBottom w:val="0"/>
          <w:divBdr>
            <w:top w:val="none" w:sz="0" w:space="0" w:color="auto"/>
            <w:left w:val="none" w:sz="0" w:space="0" w:color="auto"/>
            <w:bottom w:val="none" w:sz="0" w:space="0" w:color="auto"/>
            <w:right w:val="none" w:sz="0" w:space="0" w:color="auto"/>
          </w:divBdr>
        </w:div>
        <w:div w:id="2019699679">
          <w:marLeft w:val="0"/>
          <w:marRight w:val="0"/>
          <w:marTop w:val="0"/>
          <w:marBottom w:val="0"/>
          <w:divBdr>
            <w:top w:val="none" w:sz="0" w:space="0" w:color="auto"/>
            <w:left w:val="none" w:sz="0" w:space="0" w:color="auto"/>
            <w:bottom w:val="none" w:sz="0" w:space="0" w:color="auto"/>
            <w:right w:val="none" w:sz="0" w:space="0" w:color="auto"/>
          </w:divBdr>
        </w:div>
        <w:div w:id="2036954441">
          <w:marLeft w:val="0"/>
          <w:marRight w:val="0"/>
          <w:marTop w:val="0"/>
          <w:marBottom w:val="0"/>
          <w:divBdr>
            <w:top w:val="none" w:sz="0" w:space="0" w:color="auto"/>
            <w:left w:val="none" w:sz="0" w:space="0" w:color="auto"/>
            <w:bottom w:val="none" w:sz="0" w:space="0" w:color="auto"/>
            <w:right w:val="none" w:sz="0" w:space="0" w:color="auto"/>
          </w:divBdr>
        </w:div>
        <w:div w:id="2060322843">
          <w:marLeft w:val="0"/>
          <w:marRight w:val="0"/>
          <w:marTop w:val="0"/>
          <w:marBottom w:val="0"/>
          <w:divBdr>
            <w:top w:val="none" w:sz="0" w:space="0" w:color="auto"/>
            <w:left w:val="none" w:sz="0" w:space="0" w:color="auto"/>
            <w:bottom w:val="none" w:sz="0" w:space="0" w:color="auto"/>
            <w:right w:val="none" w:sz="0" w:space="0" w:color="auto"/>
          </w:divBdr>
        </w:div>
        <w:div w:id="2066491287">
          <w:marLeft w:val="0"/>
          <w:marRight w:val="0"/>
          <w:marTop w:val="0"/>
          <w:marBottom w:val="0"/>
          <w:divBdr>
            <w:top w:val="none" w:sz="0" w:space="0" w:color="auto"/>
            <w:left w:val="none" w:sz="0" w:space="0" w:color="auto"/>
            <w:bottom w:val="none" w:sz="0" w:space="0" w:color="auto"/>
            <w:right w:val="none" w:sz="0" w:space="0" w:color="auto"/>
          </w:divBdr>
        </w:div>
        <w:div w:id="2070839101">
          <w:marLeft w:val="0"/>
          <w:marRight w:val="0"/>
          <w:marTop w:val="0"/>
          <w:marBottom w:val="0"/>
          <w:divBdr>
            <w:top w:val="none" w:sz="0" w:space="0" w:color="auto"/>
            <w:left w:val="none" w:sz="0" w:space="0" w:color="auto"/>
            <w:bottom w:val="none" w:sz="0" w:space="0" w:color="auto"/>
            <w:right w:val="none" w:sz="0" w:space="0" w:color="auto"/>
          </w:divBdr>
        </w:div>
        <w:div w:id="2072730324">
          <w:marLeft w:val="0"/>
          <w:marRight w:val="0"/>
          <w:marTop w:val="0"/>
          <w:marBottom w:val="0"/>
          <w:divBdr>
            <w:top w:val="none" w:sz="0" w:space="0" w:color="auto"/>
            <w:left w:val="none" w:sz="0" w:space="0" w:color="auto"/>
            <w:bottom w:val="none" w:sz="0" w:space="0" w:color="auto"/>
            <w:right w:val="none" w:sz="0" w:space="0" w:color="auto"/>
          </w:divBdr>
        </w:div>
        <w:div w:id="2140026643">
          <w:marLeft w:val="0"/>
          <w:marRight w:val="0"/>
          <w:marTop w:val="0"/>
          <w:marBottom w:val="0"/>
          <w:divBdr>
            <w:top w:val="none" w:sz="0" w:space="0" w:color="auto"/>
            <w:left w:val="none" w:sz="0" w:space="0" w:color="auto"/>
            <w:bottom w:val="none" w:sz="0" w:space="0" w:color="auto"/>
            <w:right w:val="none" w:sz="0" w:space="0" w:color="auto"/>
          </w:divBdr>
        </w:div>
      </w:divsChild>
    </w:div>
    <w:div w:id="1384527161">
      <w:bodyDiv w:val="1"/>
      <w:marLeft w:val="0"/>
      <w:marRight w:val="0"/>
      <w:marTop w:val="0"/>
      <w:marBottom w:val="0"/>
      <w:divBdr>
        <w:top w:val="none" w:sz="0" w:space="0" w:color="auto"/>
        <w:left w:val="none" w:sz="0" w:space="0" w:color="auto"/>
        <w:bottom w:val="none" w:sz="0" w:space="0" w:color="auto"/>
        <w:right w:val="none" w:sz="0" w:space="0" w:color="auto"/>
      </w:divBdr>
    </w:div>
    <w:div w:id="1388725854">
      <w:bodyDiv w:val="1"/>
      <w:marLeft w:val="0"/>
      <w:marRight w:val="0"/>
      <w:marTop w:val="0"/>
      <w:marBottom w:val="0"/>
      <w:divBdr>
        <w:top w:val="none" w:sz="0" w:space="0" w:color="auto"/>
        <w:left w:val="none" w:sz="0" w:space="0" w:color="auto"/>
        <w:bottom w:val="none" w:sz="0" w:space="0" w:color="auto"/>
        <w:right w:val="none" w:sz="0" w:space="0" w:color="auto"/>
      </w:divBdr>
    </w:div>
    <w:div w:id="1401557988">
      <w:bodyDiv w:val="1"/>
      <w:marLeft w:val="0"/>
      <w:marRight w:val="0"/>
      <w:marTop w:val="0"/>
      <w:marBottom w:val="0"/>
      <w:divBdr>
        <w:top w:val="none" w:sz="0" w:space="0" w:color="auto"/>
        <w:left w:val="none" w:sz="0" w:space="0" w:color="auto"/>
        <w:bottom w:val="none" w:sz="0" w:space="0" w:color="auto"/>
        <w:right w:val="none" w:sz="0" w:space="0" w:color="auto"/>
      </w:divBdr>
    </w:div>
    <w:div w:id="1403136076">
      <w:bodyDiv w:val="1"/>
      <w:marLeft w:val="0"/>
      <w:marRight w:val="0"/>
      <w:marTop w:val="0"/>
      <w:marBottom w:val="0"/>
      <w:divBdr>
        <w:top w:val="none" w:sz="0" w:space="0" w:color="auto"/>
        <w:left w:val="none" w:sz="0" w:space="0" w:color="auto"/>
        <w:bottom w:val="none" w:sz="0" w:space="0" w:color="auto"/>
        <w:right w:val="none" w:sz="0" w:space="0" w:color="auto"/>
      </w:divBdr>
    </w:div>
    <w:div w:id="1421221463">
      <w:bodyDiv w:val="1"/>
      <w:marLeft w:val="0"/>
      <w:marRight w:val="0"/>
      <w:marTop w:val="0"/>
      <w:marBottom w:val="0"/>
      <w:divBdr>
        <w:top w:val="none" w:sz="0" w:space="0" w:color="auto"/>
        <w:left w:val="none" w:sz="0" w:space="0" w:color="auto"/>
        <w:bottom w:val="none" w:sz="0" w:space="0" w:color="auto"/>
        <w:right w:val="none" w:sz="0" w:space="0" w:color="auto"/>
      </w:divBdr>
    </w:div>
    <w:div w:id="1429503606">
      <w:bodyDiv w:val="1"/>
      <w:marLeft w:val="0"/>
      <w:marRight w:val="0"/>
      <w:marTop w:val="0"/>
      <w:marBottom w:val="0"/>
      <w:divBdr>
        <w:top w:val="none" w:sz="0" w:space="0" w:color="auto"/>
        <w:left w:val="none" w:sz="0" w:space="0" w:color="auto"/>
        <w:bottom w:val="none" w:sz="0" w:space="0" w:color="auto"/>
        <w:right w:val="none" w:sz="0" w:space="0" w:color="auto"/>
      </w:divBdr>
    </w:div>
    <w:div w:id="1447193833">
      <w:bodyDiv w:val="1"/>
      <w:marLeft w:val="0"/>
      <w:marRight w:val="0"/>
      <w:marTop w:val="0"/>
      <w:marBottom w:val="0"/>
      <w:divBdr>
        <w:top w:val="none" w:sz="0" w:space="0" w:color="auto"/>
        <w:left w:val="none" w:sz="0" w:space="0" w:color="auto"/>
        <w:bottom w:val="none" w:sz="0" w:space="0" w:color="auto"/>
        <w:right w:val="none" w:sz="0" w:space="0" w:color="auto"/>
      </w:divBdr>
    </w:div>
    <w:div w:id="1464542386">
      <w:bodyDiv w:val="1"/>
      <w:marLeft w:val="0"/>
      <w:marRight w:val="0"/>
      <w:marTop w:val="0"/>
      <w:marBottom w:val="0"/>
      <w:divBdr>
        <w:top w:val="none" w:sz="0" w:space="0" w:color="auto"/>
        <w:left w:val="none" w:sz="0" w:space="0" w:color="auto"/>
        <w:bottom w:val="none" w:sz="0" w:space="0" w:color="auto"/>
        <w:right w:val="none" w:sz="0" w:space="0" w:color="auto"/>
      </w:divBdr>
    </w:div>
    <w:div w:id="1496334895">
      <w:bodyDiv w:val="1"/>
      <w:marLeft w:val="0"/>
      <w:marRight w:val="0"/>
      <w:marTop w:val="0"/>
      <w:marBottom w:val="0"/>
      <w:divBdr>
        <w:top w:val="none" w:sz="0" w:space="0" w:color="auto"/>
        <w:left w:val="none" w:sz="0" w:space="0" w:color="auto"/>
        <w:bottom w:val="none" w:sz="0" w:space="0" w:color="auto"/>
        <w:right w:val="none" w:sz="0" w:space="0" w:color="auto"/>
      </w:divBdr>
      <w:divsChild>
        <w:div w:id="411775145">
          <w:marLeft w:val="0"/>
          <w:marRight w:val="0"/>
          <w:marTop w:val="0"/>
          <w:marBottom w:val="0"/>
          <w:divBdr>
            <w:top w:val="none" w:sz="0" w:space="0" w:color="auto"/>
            <w:left w:val="none" w:sz="0" w:space="0" w:color="auto"/>
            <w:bottom w:val="none" w:sz="0" w:space="0" w:color="auto"/>
            <w:right w:val="none" w:sz="0" w:space="0" w:color="auto"/>
          </w:divBdr>
        </w:div>
        <w:div w:id="428353265">
          <w:marLeft w:val="0"/>
          <w:marRight w:val="0"/>
          <w:marTop w:val="0"/>
          <w:marBottom w:val="0"/>
          <w:divBdr>
            <w:top w:val="none" w:sz="0" w:space="0" w:color="auto"/>
            <w:left w:val="none" w:sz="0" w:space="0" w:color="auto"/>
            <w:bottom w:val="none" w:sz="0" w:space="0" w:color="auto"/>
            <w:right w:val="none" w:sz="0" w:space="0" w:color="auto"/>
          </w:divBdr>
        </w:div>
        <w:div w:id="474223356">
          <w:marLeft w:val="0"/>
          <w:marRight w:val="0"/>
          <w:marTop w:val="0"/>
          <w:marBottom w:val="0"/>
          <w:divBdr>
            <w:top w:val="none" w:sz="0" w:space="0" w:color="auto"/>
            <w:left w:val="none" w:sz="0" w:space="0" w:color="auto"/>
            <w:bottom w:val="none" w:sz="0" w:space="0" w:color="auto"/>
            <w:right w:val="none" w:sz="0" w:space="0" w:color="auto"/>
          </w:divBdr>
        </w:div>
        <w:div w:id="1360203094">
          <w:marLeft w:val="0"/>
          <w:marRight w:val="0"/>
          <w:marTop w:val="0"/>
          <w:marBottom w:val="0"/>
          <w:divBdr>
            <w:top w:val="none" w:sz="0" w:space="0" w:color="auto"/>
            <w:left w:val="none" w:sz="0" w:space="0" w:color="auto"/>
            <w:bottom w:val="none" w:sz="0" w:space="0" w:color="auto"/>
            <w:right w:val="none" w:sz="0" w:space="0" w:color="auto"/>
          </w:divBdr>
        </w:div>
        <w:div w:id="1361586254">
          <w:marLeft w:val="0"/>
          <w:marRight w:val="0"/>
          <w:marTop w:val="0"/>
          <w:marBottom w:val="0"/>
          <w:divBdr>
            <w:top w:val="none" w:sz="0" w:space="0" w:color="auto"/>
            <w:left w:val="none" w:sz="0" w:space="0" w:color="auto"/>
            <w:bottom w:val="none" w:sz="0" w:space="0" w:color="auto"/>
            <w:right w:val="none" w:sz="0" w:space="0" w:color="auto"/>
          </w:divBdr>
        </w:div>
        <w:div w:id="1426995066">
          <w:marLeft w:val="0"/>
          <w:marRight w:val="0"/>
          <w:marTop w:val="0"/>
          <w:marBottom w:val="0"/>
          <w:divBdr>
            <w:top w:val="none" w:sz="0" w:space="0" w:color="auto"/>
            <w:left w:val="none" w:sz="0" w:space="0" w:color="auto"/>
            <w:bottom w:val="none" w:sz="0" w:space="0" w:color="auto"/>
            <w:right w:val="none" w:sz="0" w:space="0" w:color="auto"/>
          </w:divBdr>
        </w:div>
        <w:div w:id="1591889572">
          <w:marLeft w:val="0"/>
          <w:marRight w:val="0"/>
          <w:marTop w:val="0"/>
          <w:marBottom w:val="0"/>
          <w:divBdr>
            <w:top w:val="none" w:sz="0" w:space="0" w:color="auto"/>
            <w:left w:val="none" w:sz="0" w:space="0" w:color="auto"/>
            <w:bottom w:val="none" w:sz="0" w:space="0" w:color="auto"/>
            <w:right w:val="none" w:sz="0" w:space="0" w:color="auto"/>
          </w:divBdr>
        </w:div>
        <w:div w:id="1626959328">
          <w:marLeft w:val="0"/>
          <w:marRight w:val="0"/>
          <w:marTop w:val="0"/>
          <w:marBottom w:val="0"/>
          <w:divBdr>
            <w:top w:val="none" w:sz="0" w:space="0" w:color="auto"/>
            <w:left w:val="none" w:sz="0" w:space="0" w:color="auto"/>
            <w:bottom w:val="none" w:sz="0" w:space="0" w:color="auto"/>
            <w:right w:val="none" w:sz="0" w:space="0" w:color="auto"/>
          </w:divBdr>
        </w:div>
        <w:div w:id="1792482056">
          <w:marLeft w:val="0"/>
          <w:marRight w:val="0"/>
          <w:marTop w:val="0"/>
          <w:marBottom w:val="0"/>
          <w:divBdr>
            <w:top w:val="none" w:sz="0" w:space="0" w:color="auto"/>
            <w:left w:val="none" w:sz="0" w:space="0" w:color="auto"/>
            <w:bottom w:val="none" w:sz="0" w:space="0" w:color="auto"/>
            <w:right w:val="none" w:sz="0" w:space="0" w:color="auto"/>
          </w:divBdr>
        </w:div>
        <w:div w:id="1917321519">
          <w:marLeft w:val="0"/>
          <w:marRight w:val="0"/>
          <w:marTop w:val="0"/>
          <w:marBottom w:val="0"/>
          <w:divBdr>
            <w:top w:val="none" w:sz="0" w:space="0" w:color="auto"/>
            <w:left w:val="none" w:sz="0" w:space="0" w:color="auto"/>
            <w:bottom w:val="none" w:sz="0" w:space="0" w:color="auto"/>
            <w:right w:val="none" w:sz="0" w:space="0" w:color="auto"/>
          </w:divBdr>
        </w:div>
      </w:divsChild>
    </w:div>
    <w:div w:id="1520465390">
      <w:bodyDiv w:val="1"/>
      <w:marLeft w:val="0"/>
      <w:marRight w:val="0"/>
      <w:marTop w:val="0"/>
      <w:marBottom w:val="0"/>
      <w:divBdr>
        <w:top w:val="none" w:sz="0" w:space="0" w:color="auto"/>
        <w:left w:val="none" w:sz="0" w:space="0" w:color="auto"/>
        <w:bottom w:val="none" w:sz="0" w:space="0" w:color="auto"/>
        <w:right w:val="none" w:sz="0" w:space="0" w:color="auto"/>
      </w:divBdr>
    </w:div>
    <w:div w:id="1529172442">
      <w:bodyDiv w:val="1"/>
      <w:marLeft w:val="0"/>
      <w:marRight w:val="0"/>
      <w:marTop w:val="0"/>
      <w:marBottom w:val="0"/>
      <w:divBdr>
        <w:top w:val="none" w:sz="0" w:space="0" w:color="auto"/>
        <w:left w:val="none" w:sz="0" w:space="0" w:color="auto"/>
        <w:bottom w:val="none" w:sz="0" w:space="0" w:color="auto"/>
        <w:right w:val="none" w:sz="0" w:space="0" w:color="auto"/>
      </w:divBdr>
    </w:div>
    <w:div w:id="1536963352">
      <w:bodyDiv w:val="1"/>
      <w:marLeft w:val="0"/>
      <w:marRight w:val="0"/>
      <w:marTop w:val="0"/>
      <w:marBottom w:val="0"/>
      <w:divBdr>
        <w:top w:val="none" w:sz="0" w:space="0" w:color="auto"/>
        <w:left w:val="none" w:sz="0" w:space="0" w:color="auto"/>
        <w:bottom w:val="none" w:sz="0" w:space="0" w:color="auto"/>
        <w:right w:val="none" w:sz="0" w:space="0" w:color="auto"/>
      </w:divBdr>
    </w:div>
    <w:div w:id="1539047942">
      <w:bodyDiv w:val="1"/>
      <w:marLeft w:val="0"/>
      <w:marRight w:val="0"/>
      <w:marTop w:val="0"/>
      <w:marBottom w:val="0"/>
      <w:divBdr>
        <w:top w:val="none" w:sz="0" w:space="0" w:color="auto"/>
        <w:left w:val="none" w:sz="0" w:space="0" w:color="auto"/>
        <w:bottom w:val="none" w:sz="0" w:space="0" w:color="auto"/>
        <w:right w:val="none" w:sz="0" w:space="0" w:color="auto"/>
      </w:divBdr>
      <w:divsChild>
        <w:div w:id="693961662">
          <w:marLeft w:val="0"/>
          <w:marRight w:val="0"/>
          <w:marTop w:val="0"/>
          <w:marBottom w:val="0"/>
          <w:divBdr>
            <w:top w:val="none" w:sz="0" w:space="0" w:color="auto"/>
            <w:left w:val="none" w:sz="0" w:space="0" w:color="auto"/>
            <w:bottom w:val="none" w:sz="0" w:space="0" w:color="auto"/>
            <w:right w:val="none" w:sz="0" w:space="0" w:color="auto"/>
          </w:divBdr>
        </w:div>
        <w:div w:id="709304031">
          <w:marLeft w:val="0"/>
          <w:marRight w:val="0"/>
          <w:marTop w:val="0"/>
          <w:marBottom w:val="0"/>
          <w:divBdr>
            <w:top w:val="none" w:sz="0" w:space="0" w:color="auto"/>
            <w:left w:val="none" w:sz="0" w:space="0" w:color="auto"/>
            <w:bottom w:val="none" w:sz="0" w:space="0" w:color="auto"/>
            <w:right w:val="none" w:sz="0" w:space="0" w:color="auto"/>
          </w:divBdr>
        </w:div>
        <w:div w:id="1645617434">
          <w:marLeft w:val="0"/>
          <w:marRight w:val="0"/>
          <w:marTop w:val="0"/>
          <w:marBottom w:val="0"/>
          <w:divBdr>
            <w:top w:val="none" w:sz="0" w:space="0" w:color="auto"/>
            <w:left w:val="none" w:sz="0" w:space="0" w:color="auto"/>
            <w:bottom w:val="none" w:sz="0" w:space="0" w:color="auto"/>
            <w:right w:val="none" w:sz="0" w:space="0" w:color="auto"/>
          </w:divBdr>
        </w:div>
        <w:div w:id="1775635322">
          <w:marLeft w:val="0"/>
          <w:marRight w:val="0"/>
          <w:marTop w:val="0"/>
          <w:marBottom w:val="0"/>
          <w:divBdr>
            <w:top w:val="none" w:sz="0" w:space="0" w:color="auto"/>
            <w:left w:val="none" w:sz="0" w:space="0" w:color="auto"/>
            <w:bottom w:val="none" w:sz="0" w:space="0" w:color="auto"/>
            <w:right w:val="none" w:sz="0" w:space="0" w:color="auto"/>
          </w:divBdr>
        </w:div>
        <w:div w:id="1784348700">
          <w:marLeft w:val="0"/>
          <w:marRight w:val="0"/>
          <w:marTop w:val="0"/>
          <w:marBottom w:val="0"/>
          <w:divBdr>
            <w:top w:val="none" w:sz="0" w:space="0" w:color="auto"/>
            <w:left w:val="none" w:sz="0" w:space="0" w:color="auto"/>
            <w:bottom w:val="none" w:sz="0" w:space="0" w:color="auto"/>
            <w:right w:val="none" w:sz="0" w:space="0" w:color="auto"/>
          </w:divBdr>
        </w:div>
      </w:divsChild>
    </w:div>
    <w:div w:id="1541160547">
      <w:bodyDiv w:val="1"/>
      <w:marLeft w:val="0"/>
      <w:marRight w:val="0"/>
      <w:marTop w:val="0"/>
      <w:marBottom w:val="0"/>
      <w:divBdr>
        <w:top w:val="none" w:sz="0" w:space="0" w:color="auto"/>
        <w:left w:val="none" w:sz="0" w:space="0" w:color="auto"/>
        <w:bottom w:val="none" w:sz="0" w:space="0" w:color="auto"/>
        <w:right w:val="none" w:sz="0" w:space="0" w:color="auto"/>
      </w:divBdr>
    </w:div>
    <w:div w:id="1547140785">
      <w:bodyDiv w:val="1"/>
      <w:marLeft w:val="0"/>
      <w:marRight w:val="0"/>
      <w:marTop w:val="0"/>
      <w:marBottom w:val="0"/>
      <w:divBdr>
        <w:top w:val="none" w:sz="0" w:space="0" w:color="auto"/>
        <w:left w:val="none" w:sz="0" w:space="0" w:color="auto"/>
        <w:bottom w:val="none" w:sz="0" w:space="0" w:color="auto"/>
        <w:right w:val="none" w:sz="0" w:space="0" w:color="auto"/>
      </w:divBdr>
    </w:div>
    <w:div w:id="1559393169">
      <w:bodyDiv w:val="1"/>
      <w:marLeft w:val="0"/>
      <w:marRight w:val="0"/>
      <w:marTop w:val="0"/>
      <w:marBottom w:val="0"/>
      <w:divBdr>
        <w:top w:val="none" w:sz="0" w:space="0" w:color="auto"/>
        <w:left w:val="none" w:sz="0" w:space="0" w:color="auto"/>
        <w:bottom w:val="none" w:sz="0" w:space="0" w:color="auto"/>
        <w:right w:val="none" w:sz="0" w:space="0" w:color="auto"/>
      </w:divBdr>
    </w:div>
    <w:div w:id="1573539338">
      <w:bodyDiv w:val="1"/>
      <w:marLeft w:val="0"/>
      <w:marRight w:val="0"/>
      <w:marTop w:val="0"/>
      <w:marBottom w:val="0"/>
      <w:divBdr>
        <w:top w:val="none" w:sz="0" w:space="0" w:color="auto"/>
        <w:left w:val="none" w:sz="0" w:space="0" w:color="auto"/>
        <w:bottom w:val="none" w:sz="0" w:space="0" w:color="auto"/>
        <w:right w:val="none" w:sz="0" w:space="0" w:color="auto"/>
      </w:divBdr>
      <w:divsChild>
        <w:div w:id="119766946">
          <w:marLeft w:val="0"/>
          <w:marRight w:val="0"/>
          <w:marTop w:val="0"/>
          <w:marBottom w:val="0"/>
          <w:divBdr>
            <w:top w:val="none" w:sz="0" w:space="0" w:color="auto"/>
            <w:left w:val="none" w:sz="0" w:space="0" w:color="auto"/>
            <w:bottom w:val="none" w:sz="0" w:space="0" w:color="auto"/>
            <w:right w:val="none" w:sz="0" w:space="0" w:color="auto"/>
          </w:divBdr>
        </w:div>
        <w:div w:id="265775844">
          <w:marLeft w:val="0"/>
          <w:marRight w:val="0"/>
          <w:marTop w:val="0"/>
          <w:marBottom w:val="0"/>
          <w:divBdr>
            <w:top w:val="none" w:sz="0" w:space="0" w:color="auto"/>
            <w:left w:val="none" w:sz="0" w:space="0" w:color="auto"/>
            <w:bottom w:val="none" w:sz="0" w:space="0" w:color="auto"/>
            <w:right w:val="none" w:sz="0" w:space="0" w:color="auto"/>
          </w:divBdr>
        </w:div>
        <w:div w:id="370808497">
          <w:marLeft w:val="0"/>
          <w:marRight w:val="0"/>
          <w:marTop w:val="0"/>
          <w:marBottom w:val="0"/>
          <w:divBdr>
            <w:top w:val="none" w:sz="0" w:space="0" w:color="auto"/>
            <w:left w:val="none" w:sz="0" w:space="0" w:color="auto"/>
            <w:bottom w:val="none" w:sz="0" w:space="0" w:color="auto"/>
            <w:right w:val="none" w:sz="0" w:space="0" w:color="auto"/>
          </w:divBdr>
        </w:div>
        <w:div w:id="436606364">
          <w:marLeft w:val="0"/>
          <w:marRight w:val="0"/>
          <w:marTop w:val="0"/>
          <w:marBottom w:val="0"/>
          <w:divBdr>
            <w:top w:val="none" w:sz="0" w:space="0" w:color="auto"/>
            <w:left w:val="none" w:sz="0" w:space="0" w:color="auto"/>
            <w:bottom w:val="none" w:sz="0" w:space="0" w:color="auto"/>
            <w:right w:val="none" w:sz="0" w:space="0" w:color="auto"/>
          </w:divBdr>
        </w:div>
        <w:div w:id="545216058">
          <w:marLeft w:val="0"/>
          <w:marRight w:val="0"/>
          <w:marTop w:val="0"/>
          <w:marBottom w:val="0"/>
          <w:divBdr>
            <w:top w:val="none" w:sz="0" w:space="0" w:color="auto"/>
            <w:left w:val="none" w:sz="0" w:space="0" w:color="auto"/>
            <w:bottom w:val="none" w:sz="0" w:space="0" w:color="auto"/>
            <w:right w:val="none" w:sz="0" w:space="0" w:color="auto"/>
          </w:divBdr>
        </w:div>
        <w:div w:id="623003912">
          <w:marLeft w:val="0"/>
          <w:marRight w:val="0"/>
          <w:marTop w:val="0"/>
          <w:marBottom w:val="0"/>
          <w:divBdr>
            <w:top w:val="none" w:sz="0" w:space="0" w:color="auto"/>
            <w:left w:val="none" w:sz="0" w:space="0" w:color="auto"/>
            <w:bottom w:val="none" w:sz="0" w:space="0" w:color="auto"/>
            <w:right w:val="none" w:sz="0" w:space="0" w:color="auto"/>
          </w:divBdr>
        </w:div>
        <w:div w:id="766074942">
          <w:marLeft w:val="0"/>
          <w:marRight w:val="0"/>
          <w:marTop w:val="0"/>
          <w:marBottom w:val="0"/>
          <w:divBdr>
            <w:top w:val="none" w:sz="0" w:space="0" w:color="auto"/>
            <w:left w:val="none" w:sz="0" w:space="0" w:color="auto"/>
            <w:bottom w:val="none" w:sz="0" w:space="0" w:color="auto"/>
            <w:right w:val="none" w:sz="0" w:space="0" w:color="auto"/>
          </w:divBdr>
        </w:div>
        <w:div w:id="993342002">
          <w:marLeft w:val="0"/>
          <w:marRight w:val="0"/>
          <w:marTop w:val="0"/>
          <w:marBottom w:val="0"/>
          <w:divBdr>
            <w:top w:val="none" w:sz="0" w:space="0" w:color="auto"/>
            <w:left w:val="none" w:sz="0" w:space="0" w:color="auto"/>
            <w:bottom w:val="none" w:sz="0" w:space="0" w:color="auto"/>
            <w:right w:val="none" w:sz="0" w:space="0" w:color="auto"/>
          </w:divBdr>
        </w:div>
        <w:div w:id="1112163475">
          <w:marLeft w:val="0"/>
          <w:marRight w:val="0"/>
          <w:marTop w:val="0"/>
          <w:marBottom w:val="0"/>
          <w:divBdr>
            <w:top w:val="none" w:sz="0" w:space="0" w:color="auto"/>
            <w:left w:val="none" w:sz="0" w:space="0" w:color="auto"/>
            <w:bottom w:val="none" w:sz="0" w:space="0" w:color="auto"/>
            <w:right w:val="none" w:sz="0" w:space="0" w:color="auto"/>
          </w:divBdr>
        </w:div>
        <w:div w:id="1313829004">
          <w:marLeft w:val="0"/>
          <w:marRight w:val="0"/>
          <w:marTop w:val="0"/>
          <w:marBottom w:val="0"/>
          <w:divBdr>
            <w:top w:val="none" w:sz="0" w:space="0" w:color="auto"/>
            <w:left w:val="none" w:sz="0" w:space="0" w:color="auto"/>
            <w:bottom w:val="none" w:sz="0" w:space="0" w:color="auto"/>
            <w:right w:val="none" w:sz="0" w:space="0" w:color="auto"/>
          </w:divBdr>
        </w:div>
        <w:div w:id="1439715813">
          <w:marLeft w:val="0"/>
          <w:marRight w:val="0"/>
          <w:marTop w:val="0"/>
          <w:marBottom w:val="0"/>
          <w:divBdr>
            <w:top w:val="none" w:sz="0" w:space="0" w:color="auto"/>
            <w:left w:val="none" w:sz="0" w:space="0" w:color="auto"/>
            <w:bottom w:val="none" w:sz="0" w:space="0" w:color="auto"/>
            <w:right w:val="none" w:sz="0" w:space="0" w:color="auto"/>
          </w:divBdr>
        </w:div>
        <w:div w:id="1449202736">
          <w:marLeft w:val="0"/>
          <w:marRight w:val="0"/>
          <w:marTop w:val="0"/>
          <w:marBottom w:val="0"/>
          <w:divBdr>
            <w:top w:val="none" w:sz="0" w:space="0" w:color="auto"/>
            <w:left w:val="none" w:sz="0" w:space="0" w:color="auto"/>
            <w:bottom w:val="none" w:sz="0" w:space="0" w:color="auto"/>
            <w:right w:val="none" w:sz="0" w:space="0" w:color="auto"/>
          </w:divBdr>
        </w:div>
        <w:div w:id="1696224319">
          <w:marLeft w:val="0"/>
          <w:marRight w:val="0"/>
          <w:marTop w:val="0"/>
          <w:marBottom w:val="0"/>
          <w:divBdr>
            <w:top w:val="none" w:sz="0" w:space="0" w:color="auto"/>
            <w:left w:val="none" w:sz="0" w:space="0" w:color="auto"/>
            <w:bottom w:val="none" w:sz="0" w:space="0" w:color="auto"/>
            <w:right w:val="none" w:sz="0" w:space="0" w:color="auto"/>
          </w:divBdr>
        </w:div>
        <w:div w:id="1719891848">
          <w:marLeft w:val="0"/>
          <w:marRight w:val="0"/>
          <w:marTop w:val="0"/>
          <w:marBottom w:val="0"/>
          <w:divBdr>
            <w:top w:val="none" w:sz="0" w:space="0" w:color="auto"/>
            <w:left w:val="none" w:sz="0" w:space="0" w:color="auto"/>
            <w:bottom w:val="none" w:sz="0" w:space="0" w:color="auto"/>
            <w:right w:val="none" w:sz="0" w:space="0" w:color="auto"/>
          </w:divBdr>
        </w:div>
        <w:div w:id="2115787071">
          <w:marLeft w:val="0"/>
          <w:marRight w:val="0"/>
          <w:marTop w:val="0"/>
          <w:marBottom w:val="0"/>
          <w:divBdr>
            <w:top w:val="none" w:sz="0" w:space="0" w:color="auto"/>
            <w:left w:val="none" w:sz="0" w:space="0" w:color="auto"/>
            <w:bottom w:val="none" w:sz="0" w:space="0" w:color="auto"/>
            <w:right w:val="none" w:sz="0" w:space="0" w:color="auto"/>
          </w:divBdr>
        </w:div>
      </w:divsChild>
    </w:div>
    <w:div w:id="1574007203">
      <w:bodyDiv w:val="1"/>
      <w:marLeft w:val="0"/>
      <w:marRight w:val="0"/>
      <w:marTop w:val="0"/>
      <w:marBottom w:val="0"/>
      <w:divBdr>
        <w:top w:val="none" w:sz="0" w:space="0" w:color="auto"/>
        <w:left w:val="none" w:sz="0" w:space="0" w:color="auto"/>
        <w:bottom w:val="none" w:sz="0" w:space="0" w:color="auto"/>
        <w:right w:val="none" w:sz="0" w:space="0" w:color="auto"/>
      </w:divBdr>
    </w:div>
    <w:div w:id="1574850567">
      <w:bodyDiv w:val="1"/>
      <w:marLeft w:val="0"/>
      <w:marRight w:val="0"/>
      <w:marTop w:val="0"/>
      <w:marBottom w:val="0"/>
      <w:divBdr>
        <w:top w:val="none" w:sz="0" w:space="0" w:color="auto"/>
        <w:left w:val="none" w:sz="0" w:space="0" w:color="auto"/>
        <w:bottom w:val="none" w:sz="0" w:space="0" w:color="auto"/>
        <w:right w:val="none" w:sz="0" w:space="0" w:color="auto"/>
      </w:divBdr>
    </w:div>
    <w:div w:id="1579628604">
      <w:bodyDiv w:val="1"/>
      <w:marLeft w:val="0"/>
      <w:marRight w:val="0"/>
      <w:marTop w:val="0"/>
      <w:marBottom w:val="0"/>
      <w:divBdr>
        <w:top w:val="none" w:sz="0" w:space="0" w:color="auto"/>
        <w:left w:val="none" w:sz="0" w:space="0" w:color="auto"/>
        <w:bottom w:val="none" w:sz="0" w:space="0" w:color="auto"/>
        <w:right w:val="none" w:sz="0" w:space="0" w:color="auto"/>
      </w:divBdr>
    </w:div>
    <w:div w:id="1579973511">
      <w:bodyDiv w:val="1"/>
      <w:marLeft w:val="0"/>
      <w:marRight w:val="0"/>
      <w:marTop w:val="0"/>
      <w:marBottom w:val="0"/>
      <w:divBdr>
        <w:top w:val="none" w:sz="0" w:space="0" w:color="auto"/>
        <w:left w:val="none" w:sz="0" w:space="0" w:color="auto"/>
        <w:bottom w:val="none" w:sz="0" w:space="0" w:color="auto"/>
        <w:right w:val="none" w:sz="0" w:space="0" w:color="auto"/>
      </w:divBdr>
    </w:div>
    <w:div w:id="1587609708">
      <w:bodyDiv w:val="1"/>
      <w:marLeft w:val="0"/>
      <w:marRight w:val="0"/>
      <w:marTop w:val="0"/>
      <w:marBottom w:val="0"/>
      <w:divBdr>
        <w:top w:val="none" w:sz="0" w:space="0" w:color="auto"/>
        <w:left w:val="none" w:sz="0" w:space="0" w:color="auto"/>
        <w:bottom w:val="none" w:sz="0" w:space="0" w:color="auto"/>
        <w:right w:val="none" w:sz="0" w:space="0" w:color="auto"/>
      </w:divBdr>
    </w:div>
    <w:div w:id="1599826516">
      <w:bodyDiv w:val="1"/>
      <w:marLeft w:val="0"/>
      <w:marRight w:val="0"/>
      <w:marTop w:val="0"/>
      <w:marBottom w:val="0"/>
      <w:divBdr>
        <w:top w:val="none" w:sz="0" w:space="0" w:color="auto"/>
        <w:left w:val="none" w:sz="0" w:space="0" w:color="auto"/>
        <w:bottom w:val="none" w:sz="0" w:space="0" w:color="auto"/>
        <w:right w:val="none" w:sz="0" w:space="0" w:color="auto"/>
      </w:divBdr>
    </w:div>
    <w:div w:id="1600411880">
      <w:bodyDiv w:val="1"/>
      <w:marLeft w:val="0"/>
      <w:marRight w:val="0"/>
      <w:marTop w:val="0"/>
      <w:marBottom w:val="0"/>
      <w:divBdr>
        <w:top w:val="none" w:sz="0" w:space="0" w:color="auto"/>
        <w:left w:val="none" w:sz="0" w:space="0" w:color="auto"/>
        <w:bottom w:val="none" w:sz="0" w:space="0" w:color="auto"/>
        <w:right w:val="none" w:sz="0" w:space="0" w:color="auto"/>
      </w:divBdr>
    </w:div>
    <w:div w:id="1602833807">
      <w:bodyDiv w:val="1"/>
      <w:marLeft w:val="0"/>
      <w:marRight w:val="0"/>
      <w:marTop w:val="0"/>
      <w:marBottom w:val="0"/>
      <w:divBdr>
        <w:top w:val="none" w:sz="0" w:space="0" w:color="auto"/>
        <w:left w:val="none" w:sz="0" w:space="0" w:color="auto"/>
        <w:bottom w:val="none" w:sz="0" w:space="0" w:color="auto"/>
        <w:right w:val="none" w:sz="0" w:space="0" w:color="auto"/>
      </w:divBdr>
    </w:div>
    <w:div w:id="1606300839">
      <w:bodyDiv w:val="1"/>
      <w:marLeft w:val="0"/>
      <w:marRight w:val="0"/>
      <w:marTop w:val="0"/>
      <w:marBottom w:val="0"/>
      <w:divBdr>
        <w:top w:val="none" w:sz="0" w:space="0" w:color="auto"/>
        <w:left w:val="none" w:sz="0" w:space="0" w:color="auto"/>
        <w:bottom w:val="none" w:sz="0" w:space="0" w:color="auto"/>
        <w:right w:val="none" w:sz="0" w:space="0" w:color="auto"/>
      </w:divBdr>
    </w:div>
    <w:div w:id="1609921944">
      <w:bodyDiv w:val="1"/>
      <w:marLeft w:val="0"/>
      <w:marRight w:val="0"/>
      <w:marTop w:val="0"/>
      <w:marBottom w:val="0"/>
      <w:divBdr>
        <w:top w:val="none" w:sz="0" w:space="0" w:color="auto"/>
        <w:left w:val="none" w:sz="0" w:space="0" w:color="auto"/>
        <w:bottom w:val="none" w:sz="0" w:space="0" w:color="auto"/>
        <w:right w:val="none" w:sz="0" w:space="0" w:color="auto"/>
      </w:divBdr>
    </w:div>
    <w:div w:id="1612980621">
      <w:bodyDiv w:val="1"/>
      <w:marLeft w:val="0"/>
      <w:marRight w:val="0"/>
      <w:marTop w:val="0"/>
      <w:marBottom w:val="0"/>
      <w:divBdr>
        <w:top w:val="none" w:sz="0" w:space="0" w:color="auto"/>
        <w:left w:val="none" w:sz="0" w:space="0" w:color="auto"/>
        <w:bottom w:val="none" w:sz="0" w:space="0" w:color="auto"/>
        <w:right w:val="none" w:sz="0" w:space="0" w:color="auto"/>
      </w:divBdr>
    </w:div>
    <w:div w:id="1636522751">
      <w:bodyDiv w:val="1"/>
      <w:marLeft w:val="0"/>
      <w:marRight w:val="0"/>
      <w:marTop w:val="0"/>
      <w:marBottom w:val="0"/>
      <w:divBdr>
        <w:top w:val="none" w:sz="0" w:space="0" w:color="auto"/>
        <w:left w:val="none" w:sz="0" w:space="0" w:color="auto"/>
        <w:bottom w:val="none" w:sz="0" w:space="0" w:color="auto"/>
        <w:right w:val="none" w:sz="0" w:space="0" w:color="auto"/>
      </w:divBdr>
    </w:div>
    <w:div w:id="1639453636">
      <w:bodyDiv w:val="1"/>
      <w:marLeft w:val="0"/>
      <w:marRight w:val="0"/>
      <w:marTop w:val="0"/>
      <w:marBottom w:val="0"/>
      <w:divBdr>
        <w:top w:val="none" w:sz="0" w:space="0" w:color="auto"/>
        <w:left w:val="none" w:sz="0" w:space="0" w:color="auto"/>
        <w:bottom w:val="none" w:sz="0" w:space="0" w:color="auto"/>
        <w:right w:val="none" w:sz="0" w:space="0" w:color="auto"/>
      </w:divBdr>
      <w:divsChild>
        <w:div w:id="200364026">
          <w:marLeft w:val="0"/>
          <w:marRight w:val="0"/>
          <w:marTop w:val="0"/>
          <w:marBottom w:val="0"/>
          <w:divBdr>
            <w:top w:val="none" w:sz="0" w:space="0" w:color="auto"/>
            <w:left w:val="none" w:sz="0" w:space="0" w:color="auto"/>
            <w:bottom w:val="none" w:sz="0" w:space="0" w:color="auto"/>
            <w:right w:val="none" w:sz="0" w:space="0" w:color="auto"/>
          </w:divBdr>
        </w:div>
        <w:div w:id="225381526">
          <w:marLeft w:val="0"/>
          <w:marRight w:val="0"/>
          <w:marTop w:val="0"/>
          <w:marBottom w:val="0"/>
          <w:divBdr>
            <w:top w:val="none" w:sz="0" w:space="0" w:color="auto"/>
            <w:left w:val="none" w:sz="0" w:space="0" w:color="auto"/>
            <w:bottom w:val="none" w:sz="0" w:space="0" w:color="auto"/>
            <w:right w:val="none" w:sz="0" w:space="0" w:color="auto"/>
          </w:divBdr>
        </w:div>
        <w:div w:id="520972519">
          <w:marLeft w:val="0"/>
          <w:marRight w:val="0"/>
          <w:marTop w:val="0"/>
          <w:marBottom w:val="0"/>
          <w:divBdr>
            <w:top w:val="none" w:sz="0" w:space="0" w:color="auto"/>
            <w:left w:val="none" w:sz="0" w:space="0" w:color="auto"/>
            <w:bottom w:val="none" w:sz="0" w:space="0" w:color="auto"/>
            <w:right w:val="none" w:sz="0" w:space="0" w:color="auto"/>
          </w:divBdr>
        </w:div>
        <w:div w:id="1028334238">
          <w:marLeft w:val="0"/>
          <w:marRight w:val="0"/>
          <w:marTop w:val="0"/>
          <w:marBottom w:val="0"/>
          <w:divBdr>
            <w:top w:val="none" w:sz="0" w:space="0" w:color="auto"/>
            <w:left w:val="none" w:sz="0" w:space="0" w:color="auto"/>
            <w:bottom w:val="none" w:sz="0" w:space="0" w:color="auto"/>
            <w:right w:val="none" w:sz="0" w:space="0" w:color="auto"/>
          </w:divBdr>
        </w:div>
        <w:div w:id="1036002154">
          <w:marLeft w:val="0"/>
          <w:marRight w:val="0"/>
          <w:marTop w:val="0"/>
          <w:marBottom w:val="0"/>
          <w:divBdr>
            <w:top w:val="none" w:sz="0" w:space="0" w:color="auto"/>
            <w:left w:val="none" w:sz="0" w:space="0" w:color="auto"/>
            <w:bottom w:val="none" w:sz="0" w:space="0" w:color="auto"/>
            <w:right w:val="none" w:sz="0" w:space="0" w:color="auto"/>
          </w:divBdr>
        </w:div>
        <w:div w:id="1070082676">
          <w:marLeft w:val="0"/>
          <w:marRight w:val="0"/>
          <w:marTop w:val="0"/>
          <w:marBottom w:val="0"/>
          <w:divBdr>
            <w:top w:val="none" w:sz="0" w:space="0" w:color="auto"/>
            <w:left w:val="none" w:sz="0" w:space="0" w:color="auto"/>
            <w:bottom w:val="none" w:sz="0" w:space="0" w:color="auto"/>
            <w:right w:val="none" w:sz="0" w:space="0" w:color="auto"/>
          </w:divBdr>
        </w:div>
        <w:div w:id="1204514651">
          <w:marLeft w:val="0"/>
          <w:marRight w:val="0"/>
          <w:marTop w:val="0"/>
          <w:marBottom w:val="0"/>
          <w:divBdr>
            <w:top w:val="none" w:sz="0" w:space="0" w:color="auto"/>
            <w:left w:val="none" w:sz="0" w:space="0" w:color="auto"/>
            <w:bottom w:val="none" w:sz="0" w:space="0" w:color="auto"/>
            <w:right w:val="none" w:sz="0" w:space="0" w:color="auto"/>
          </w:divBdr>
        </w:div>
      </w:divsChild>
    </w:div>
    <w:div w:id="1648197573">
      <w:bodyDiv w:val="1"/>
      <w:marLeft w:val="0"/>
      <w:marRight w:val="0"/>
      <w:marTop w:val="0"/>
      <w:marBottom w:val="0"/>
      <w:divBdr>
        <w:top w:val="none" w:sz="0" w:space="0" w:color="auto"/>
        <w:left w:val="none" w:sz="0" w:space="0" w:color="auto"/>
        <w:bottom w:val="none" w:sz="0" w:space="0" w:color="auto"/>
        <w:right w:val="none" w:sz="0" w:space="0" w:color="auto"/>
      </w:divBdr>
    </w:div>
    <w:div w:id="1650791324">
      <w:bodyDiv w:val="1"/>
      <w:marLeft w:val="0"/>
      <w:marRight w:val="0"/>
      <w:marTop w:val="0"/>
      <w:marBottom w:val="0"/>
      <w:divBdr>
        <w:top w:val="none" w:sz="0" w:space="0" w:color="auto"/>
        <w:left w:val="none" w:sz="0" w:space="0" w:color="auto"/>
        <w:bottom w:val="none" w:sz="0" w:space="0" w:color="auto"/>
        <w:right w:val="none" w:sz="0" w:space="0" w:color="auto"/>
      </w:divBdr>
    </w:div>
    <w:div w:id="1652715328">
      <w:bodyDiv w:val="1"/>
      <w:marLeft w:val="0"/>
      <w:marRight w:val="0"/>
      <w:marTop w:val="0"/>
      <w:marBottom w:val="0"/>
      <w:divBdr>
        <w:top w:val="none" w:sz="0" w:space="0" w:color="auto"/>
        <w:left w:val="none" w:sz="0" w:space="0" w:color="auto"/>
        <w:bottom w:val="none" w:sz="0" w:space="0" w:color="auto"/>
        <w:right w:val="none" w:sz="0" w:space="0" w:color="auto"/>
      </w:divBdr>
      <w:divsChild>
        <w:div w:id="1158229345">
          <w:marLeft w:val="0"/>
          <w:marRight w:val="0"/>
          <w:marTop w:val="0"/>
          <w:marBottom w:val="0"/>
          <w:divBdr>
            <w:top w:val="none" w:sz="0" w:space="0" w:color="auto"/>
            <w:left w:val="none" w:sz="0" w:space="0" w:color="auto"/>
            <w:bottom w:val="none" w:sz="0" w:space="0" w:color="auto"/>
            <w:right w:val="none" w:sz="0" w:space="0" w:color="auto"/>
          </w:divBdr>
        </w:div>
        <w:div w:id="1158812339">
          <w:marLeft w:val="0"/>
          <w:marRight w:val="0"/>
          <w:marTop w:val="0"/>
          <w:marBottom w:val="0"/>
          <w:divBdr>
            <w:top w:val="none" w:sz="0" w:space="0" w:color="auto"/>
            <w:left w:val="none" w:sz="0" w:space="0" w:color="auto"/>
            <w:bottom w:val="none" w:sz="0" w:space="0" w:color="auto"/>
            <w:right w:val="none" w:sz="0" w:space="0" w:color="auto"/>
          </w:divBdr>
        </w:div>
        <w:div w:id="1220943590">
          <w:marLeft w:val="0"/>
          <w:marRight w:val="0"/>
          <w:marTop w:val="0"/>
          <w:marBottom w:val="0"/>
          <w:divBdr>
            <w:top w:val="none" w:sz="0" w:space="0" w:color="auto"/>
            <w:left w:val="none" w:sz="0" w:space="0" w:color="auto"/>
            <w:bottom w:val="none" w:sz="0" w:space="0" w:color="auto"/>
            <w:right w:val="none" w:sz="0" w:space="0" w:color="auto"/>
          </w:divBdr>
        </w:div>
        <w:div w:id="1252079378">
          <w:marLeft w:val="0"/>
          <w:marRight w:val="0"/>
          <w:marTop w:val="0"/>
          <w:marBottom w:val="0"/>
          <w:divBdr>
            <w:top w:val="none" w:sz="0" w:space="0" w:color="auto"/>
            <w:left w:val="none" w:sz="0" w:space="0" w:color="auto"/>
            <w:bottom w:val="none" w:sz="0" w:space="0" w:color="auto"/>
            <w:right w:val="none" w:sz="0" w:space="0" w:color="auto"/>
          </w:divBdr>
        </w:div>
        <w:div w:id="1285773640">
          <w:marLeft w:val="0"/>
          <w:marRight w:val="0"/>
          <w:marTop w:val="0"/>
          <w:marBottom w:val="0"/>
          <w:divBdr>
            <w:top w:val="none" w:sz="0" w:space="0" w:color="auto"/>
            <w:left w:val="none" w:sz="0" w:space="0" w:color="auto"/>
            <w:bottom w:val="none" w:sz="0" w:space="0" w:color="auto"/>
            <w:right w:val="none" w:sz="0" w:space="0" w:color="auto"/>
          </w:divBdr>
        </w:div>
        <w:div w:id="1566338365">
          <w:marLeft w:val="0"/>
          <w:marRight w:val="0"/>
          <w:marTop w:val="0"/>
          <w:marBottom w:val="0"/>
          <w:divBdr>
            <w:top w:val="none" w:sz="0" w:space="0" w:color="auto"/>
            <w:left w:val="none" w:sz="0" w:space="0" w:color="auto"/>
            <w:bottom w:val="none" w:sz="0" w:space="0" w:color="auto"/>
            <w:right w:val="none" w:sz="0" w:space="0" w:color="auto"/>
          </w:divBdr>
        </w:div>
        <w:div w:id="1674185227">
          <w:marLeft w:val="0"/>
          <w:marRight w:val="0"/>
          <w:marTop w:val="0"/>
          <w:marBottom w:val="0"/>
          <w:divBdr>
            <w:top w:val="none" w:sz="0" w:space="0" w:color="auto"/>
            <w:left w:val="none" w:sz="0" w:space="0" w:color="auto"/>
            <w:bottom w:val="none" w:sz="0" w:space="0" w:color="auto"/>
            <w:right w:val="none" w:sz="0" w:space="0" w:color="auto"/>
          </w:divBdr>
        </w:div>
        <w:div w:id="1836846910">
          <w:marLeft w:val="0"/>
          <w:marRight w:val="0"/>
          <w:marTop w:val="0"/>
          <w:marBottom w:val="0"/>
          <w:divBdr>
            <w:top w:val="none" w:sz="0" w:space="0" w:color="auto"/>
            <w:left w:val="none" w:sz="0" w:space="0" w:color="auto"/>
            <w:bottom w:val="none" w:sz="0" w:space="0" w:color="auto"/>
            <w:right w:val="none" w:sz="0" w:space="0" w:color="auto"/>
          </w:divBdr>
        </w:div>
        <w:div w:id="2094937480">
          <w:marLeft w:val="0"/>
          <w:marRight w:val="0"/>
          <w:marTop w:val="0"/>
          <w:marBottom w:val="0"/>
          <w:divBdr>
            <w:top w:val="none" w:sz="0" w:space="0" w:color="auto"/>
            <w:left w:val="none" w:sz="0" w:space="0" w:color="auto"/>
            <w:bottom w:val="none" w:sz="0" w:space="0" w:color="auto"/>
            <w:right w:val="none" w:sz="0" w:space="0" w:color="auto"/>
          </w:divBdr>
        </w:div>
      </w:divsChild>
    </w:div>
    <w:div w:id="1660766291">
      <w:bodyDiv w:val="1"/>
      <w:marLeft w:val="0"/>
      <w:marRight w:val="0"/>
      <w:marTop w:val="0"/>
      <w:marBottom w:val="0"/>
      <w:divBdr>
        <w:top w:val="none" w:sz="0" w:space="0" w:color="auto"/>
        <w:left w:val="none" w:sz="0" w:space="0" w:color="auto"/>
        <w:bottom w:val="none" w:sz="0" w:space="0" w:color="auto"/>
        <w:right w:val="none" w:sz="0" w:space="0" w:color="auto"/>
      </w:divBdr>
    </w:div>
    <w:div w:id="1661497366">
      <w:bodyDiv w:val="1"/>
      <w:marLeft w:val="0"/>
      <w:marRight w:val="0"/>
      <w:marTop w:val="0"/>
      <w:marBottom w:val="0"/>
      <w:divBdr>
        <w:top w:val="none" w:sz="0" w:space="0" w:color="auto"/>
        <w:left w:val="none" w:sz="0" w:space="0" w:color="auto"/>
        <w:bottom w:val="none" w:sz="0" w:space="0" w:color="auto"/>
        <w:right w:val="none" w:sz="0" w:space="0" w:color="auto"/>
      </w:divBdr>
    </w:div>
    <w:div w:id="1664695257">
      <w:bodyDiv w:val="1"/>
      <w:marLeft w:val="0"/>
      <w:marRight w:val="0"/>
      <w:marTop w:val="0"/>
      <w:marBottom w:val="0"/>
      <w:divBdr>
        <w:top w:val="none" w:sz="0" w:space="0" w:color="auto"/>
        <w:left w:val="none" w:sz="0" w:space="0" w:color="auto"/>
        <w:bottom w:val="none" w:sz="0" w:space="0" w:color="auto"/>
        <w:right w:val="none" w:sz="0" w:space="0" w:color="auto"/>
      </w:divBdr>
      <w:divsChild>
        <w:div w:id="129177637">
          <w:marLeft w:val="0"/>
          <w:marRight w:val="0"/>
          <w:marTop w:val="0"/>
          <w:marBottom w:val="0"/>
          <w:divBdr>
            <w:top w:val="none" w:sz="0" w:space="0" w:color="auto"/>
            <w:left w:val="none" w:sz="0" w:space="0" w:color="auto"/>
            <w:bottom w:val="none" w:sz="0" w:space="0" w:color="auto"/>
            <w:right w:val="none" w:sz="0" w:space="0" w:color="auto"/>
          </w:divBdr>
        </w:div>
        <w:div w:id="167910406">
          <w:marLeft w:val="0"/>
          <w:marRight w:val="0"/>
          <w:marTop w:val="0"/>
          <w:marBottom w:val="0"/>
          <w:divBdr>
            <w:top w:val="none" w:sz="0" w:space="0" w:color="auto"/>
            <w:left w:val="none" w:sz="0" w:space="0" w:color="auto"/>
            <w:bottom w:val="none" w:sz="0" w:space="0" w:color="auto"/>
            <w:right w:val="none" w:sz="0" w:space="0" w:color="auto"/>
          </w:divBdr>
        </w:div>
        <w:div w:id="231089405">
          <w:marLeft w:val="0"/>
          <w:marRight w:val="0"/>
          <w:marTop w:val="0"/>
          <w:marBottom w:val="0"/>
          <w:divBdr>
            <w:top w:val="none" w:sz="0" w:space="0" w:color="auto"/>
            <w:left w:val="none" w:sz="0" w:space="0" w:color="auto"/>
            <w:bottom w:val="none" w:sz="0" w:space="0" w:color="auto"/>
            <w:right w:val="none" w:sz="0" w:space="0" w:color="auto"/>
          </w:divBdr>
        </w:div>
        <w:div w:id="274364103">
          <w:marLeft w:val="0"/>
          <w:marRight w:val="0"/>
          <w:marTop w:val="0"/>
          <w:marBottom w:val="0"/>
          <w:divBdr>
            <w:top w:val="none" w:sz="0" w:space="0" w:color="auto"/>
            <w:left w:val="none" w:sz="0" w:space="0" w:color="auto"/>
            <w:bottom w:val="none" w:sz="0" w:space="0" w:color="auto"/>
            <w:right w:val="none" w:sz="0" w:space="0" w:color="auto"/>
          </w:divBdr>
        </w:div>
        <w:div w:id="315455366">
          <w:marLeft w:val="0"/>
          <w:marRight w:val="0"/>
          <w:marTop w:val="0"/>
          <w:marBottom w:val="0"/>
          <w:divBdr>
            <w:top w:val="none" w:sz="0" w:space="0" w:color="auto"/>
            <w:left w:val="none" w:sz="0" w:space="0" w:color="auto"/>
            <w:bottom w:val="none" w:sz="0" w:space="0" w:color="auto"/>
            <w:right w:val="none" w:sz="0" w:space="0" w:color="auto"/>
          </w:divBdr>
        </w:div>
        <w:div w:id="423459236">
          <w:marLeft w:val="0"/>
          <w:marRight w:val="0"/>
          <w:marTop w:val="0"/>
          <w:marBottom w:val="0"/>
          <w:divBdr>
            <w:top w:val="none" w:sz="0" w:space="0" w:color="auto"/>
            <w:left w:val="none" w:sz="0" w:space="0" w:color="auto"/>
            <w:bottom w:val="none" w:sz="0" w:space="0" w:color="auto"/>
            <w:right w:val="none" w:sz="0" w:space="0" w:color="auto"/>
          </w:divBdr>
        </w:div>
        <w:div w:id="524100296">
          <w:marLeft w:val="0"/>
          <w:marRight w:val="0"/>
          <w:marTop w:val="0"/>
          <w:marBottom w:val="0"/>
          <w:divBdr>
            <w:top w:val="none" w:sz="0" w:space="0" w:color="auto"/>
            <w:left w:val="none" w:sz="0" w:space="0" w:color="auto"/>
            <w:bottom w:val="none" w:sz="0" w:space="0" w:color="auto"/>
            <w:right w:val="none" w:sz="0" w:space="0" w:color="auto"/>
          </w:divBdr>
        </w:div>
        <w:div w:id="768156477">
          <w:marLeft w:val="0"/>
          <w:marRight w:val="0"/>
          <w:marTop w:val="0"/>
          <w:marBottom w:val="0"/>
          <w:divBdr>
            <w:top w:val="none" w:sz="0" w:space="0" w:color="auto"/>
            <w:left w:val="none" w:sz="0" w:space="0" w:color="auto"/>
            <w:bottom w:val="none" w:sz="0" w:space="0" w:color="auto"/>
            <w:right w:val="none" w:sz="0" w:space="0" w:color="auto"/>
          </w:divBdr>
        </w:div>
        <w:div w:id="833490177">
          <w:marLeft w:val="0"/>
          <w:marRight w:val="0"/>
          <w:marTop w:val="0"/>
          <w:marBottom w:val="0"/>
          <w:divBdr>
            <w:top w:val="none" w:sz="0" w:space="0" w:color="auto"/>
            <w:left w:val="none" w:sz="0" w:space="0" w:color="auto"/>
            <w:bottom w:val="none" w:sz="0" w:space="0" w:color="auto"/>
            <w:right w:val="none" w:sz="0" w:space="0" w:color="auto"/>
          </w:divBdr>
        </w:div>
        <w:div w:id="865218439">
          <w:marLeft w:val="0"/>
          <w:marRight w:val="0"/>
          <w:marTop w:val="0"/>
          <w:marBottom w:val="0"/>
          <w:divBdr>
            <w:top w:val="none" w:sz="0" w:space="0" w:color="auto"/>
            <w:left w:val="none" w:sz="0" w:space="0" w:color="auto"/>
            <w:bottom w:val="none" w:sz="0" w:space="0" w:color="auto"/>
            <w:right w:val="none" w:sz="0" w:space="0" w:color="auto"/>
          </w:divBdr>
        </w:div>
        <w:div w:id="1080716217">
          <w:marLeft w:val="0"/>
          <w:marRight w:val="0"/>
          <w:marTop w:val="0"/>
          <w:marBottom w:val="0"/>
          <w:divBdr>
            <w:top w:val="none" w:sz="0" w:space="0" w:color="auto"/>
            <w:left w:val="none" w:sz="0" w:space="0" w:color="auto"/>
            <w:bottom w:val="none" w:sz="0" w:space="0" w:color="auto"/>
            <w:right w:val="none" w:sz="0" w:space="0" w:color="auto"/>
          </w:divBdr>
        </w:div>
        <w:div w:id="1272201248">
          <w:marLeft w:val="0"/>
          <w:marRight w:val="0"/>
          <w:marTop w:val="0"/>
          <w:marBottom w:val="0"/>
          <w:divBdr>
            <w:top w:val="none" w:sz="0" w:space="0" w:color="auto"/>
            <w:left w:val="none" w:sz="0" w:space="0" w:color="auto"/>
            <w:bottom w:val="none" w:sz="0" w:space="0" w:color="auto"/>
            <w:right w:val="none" w:sz="0" w:space="0" w:color="auto"/>
          </w:divBdr>
        </w:div>
        <w:div w:id="1297444105">
          <w:marLeft w:val="0"/>
          <w:marRight w:val="0"/>
          <w:marTop w:val="0"/>
          <w:marBottom w:val="0"/>
          <w:divBdr>
            <w:top w:val="none" w:sz="0" w:space="0" w:color="auto"/>
            <w:left w:val="none" w:sz="0" w:space="0" w:color="auto"/>
            <w:bottom w:val="none" w:sz="0" w:space="0" w:color="auto"/>
            <w:right w:val="none" w:sz="0" w:space="0" w:color="auto"/>
          </w:divBdr>
        </w:div>
        <w:div w:id="1359894334">
          <w:marLeft w:val="0"/>
          <w:marRight w:val="0"/>
          <w:marTop w:val="0"/>
          <w:marBottom w:val="0"/>
          <w:divBdr>
            <w:top w:val="none" w:sz="0" w:space="0" w:color="auto"/>
            <w:left w:val="none" w:sz="0" w:space="0" w:color="auto"/>
            <w:bottom w:val="none" w:sz="0" w:space="0" w:color="auto"/>
            <w:right w:val="none" w:sz="0" w:space="0" w:color="auto"/>
          </w:divBdr>
        </w:div>
        <w:div w:id="1527791412">
          <w:marLeft w:val="0"/>
          <w:marRight w:val="0"/>
          <w:marTop w:val="0"/>
          <w:marBottom w:val="0"/>
          <w:divBdr>
            <w:top w:val="none" w:sz="0" w:space="0" w:color="auto"/>
            <w:left w:val="none" w:sz="0" w:space="0" w:color="auto"/>
            <w:bottom w:val="none" w:sz="0" w:space="0" w:color="auto"/>
            <w:right w:val="none" w:sz="0" w:space="0" w:color="auto"/>
          </w:divBdr>
        </w:div>
        <w:div w:id="1596399640">
          <w:marLeft w:val="0"/>
          <w:marRight w:val="0"/>
          <w:marTop w:val="0"/>
          <w:marBottom w:val="0"/>
          <w:divBdr>
            <w:top w:val="none" w:sz="0" w:space="0" w:color="auto"/>
            <w:left w:val="none" w:sz="0" w:space="0" w:color="auto"/>
            <w:bottom w:val="none" w:sz="0" w:space="0" w:color="auto"/>
            <w:right w:val="none" w:sz="0" w:space="0" w:color="auto"/>
          </w:divBdr>
        </w:div>
        <w:div w:id="1664778094">
          <w:marLeft w:val="0"/>
          <w:marRight w:val="0"/>
          <w:marTop w:val="0"/>
          <w:marBottom w:val="0"/>
          <w:divBdr>
            <w:top w:val="none" w:sz="0" w:space="0" w:color="auto"/>
            <w:left w:val="none" w:sz="0" w:space="0" w:color="auto"/>
            <w:bottom w:val="none" w:sz="0" w:space="0" w:color="auto"/>
            <w:right w:val="none" w:sz="0" w:space="0" w:color="auto"/>
          </w:divBdr>
        </w:div>
        <w:div w:id="1884049685">
          <w:marLeft w:val="0"/>
          <w:marRight w:val="0"/>
          <w:marTop w:val="0"/>
          <w:marBottom w:val="0"/>
          <w:divBdr>
            <w:top w:val="none" w:sz="0" w:space="0" w:color="auto"/>
            <w:left w:val="none" w:sz="0" w:space="0" w:color="auto"/>
            <w:bottom w:val="none" w:sz="0" w:space="0" w:color="auto"/>
            <w:right w:val="none" w:sz="0" w:space="0" w:color="auto"/>
          </w:divBdr>
        </w:div>
        <w:div w:id="1888646149">
          <w:marLeft w:val="0"/>
          <w:marRight w:val="0"/>
          <w:marTop w:val="0"/>
          <w:marBottom w:val="0"/>
          <w:divBdr>
            <w:top w:val="none" w:sz="0" w:space="0" w:color="auto"/>
            <w:left w:val="none" w:sz="0" w:space="0" w:color="auto"/>
            <w:bottom w:val="none" w:sz="0" w:space="0" w:color="auto"/>
            <w:right w:val="none" w:sz="0" w:space="0" w:color="auto"/>
          </w:divBdr>
        </w:div>
        <w:div w:id="1892888671">
          <w:marLeft w:val="0"/>
          <w:marRight w:val="0"/>
          <w:marTop w:val="0"/>
          <w:marBottom w:val="0"/>
          <w:divBdr>
            <w:top w:val="none" w:sz="0" w:space="0" w:color="auto"/>
            <w:left w:val="none" w:sz="0" w:space="0" w:color="auto"/>
            <w:bottom w:val="none" w:sz="0" w:space="0" w:color="auto"/>
            <w:right w:val="none" w:sz="0" w:space="0" w:color="auto"/>
          </w:divBdr>
        </w:div>
      </w:divsChild>
    </w:div>
    <w:div w:id="1684162405">
      <w:bodyDiv w:val="1"/>
      <w:marLeft w:val="0"/>
      <w:marRight w:val="0"/>
      <w:marTop w:val="0"/>
      <w:marBottom w:val="0"/>
      <w:divBdr>
        <w:top w:val="none" w:sz="0" w:space="0" w:color="auto"/>
        <w:left w:val="none" w:sz="0" w:space="0" w:color="auto"/>
        <w:bottom w:val="none" w:sz="0" w:space="0" w:color="auto"/>
        <w:right w:val="none" w:sz="0" w:space="0" w:color="auto"/>
      </w:divBdr>
    </w:div>
    <w:div w:id="1685783158">
      <w:bodyDiv w:val="1"/>
      <w:marLeft w:val="0"/>
      <w:marRight w:val="0"/>
      <w:marTop w:val="0"/>
      <w:marBottom w:val="0"/>
      <w:divBdr>
        <w:top w:val="none" w:sz="0" w:space="0" w:color="auto"/>
        <w:left w:val="none" w:sz="0" w:space="0" w:color="auto"/>
        <w:bottom w:val="none" w:sz="0" w:space="0" w:color="auto"/>
        <w:right w:val="none" w:sz="0" w:space="0" w:color="auto"/>
      </w:divBdr>
    </w:div>
    <w:div w:id="1695769770">
      <w:bodyDiv w:val="1"/>
      <w:marLeft w:val="0"/>
      <w:marRight w:val="0"/>
      <w:marTop w:val="0"/>
      <w:marBottom w:val="0"/>
      <w:divBdr>
        <w:top w:val="none" w:sz="0" w:space="0" w:color="auto"/>
        <w:left w:val="none" w:sz="0" w:space="0" w:color="auto"/>
        <w:bottom w:val="none" w:sz="0" w:space="0" w:color="auto"/>
        <w:right w:val="none" w:sz="0" w:space="0" w:color="auto"/>
      </w:divBdr>
    </w:div>
    <w:div w:id="1702242355">
      <w:bodyDiv w:val="1"/>
      <w:marLeft w:val="0"/>
      <w:marRight w:val="0"/>
      <w:marTop w:val="0"/>
      <w:marBottom w:val="0"/>
      <w:divBdr>
        <w:top w:val="none" w:sz="0" w:space="0" w:color="auto"/>
        <w:left w:val="none" w:sz="0" w:space="0" w:color="auto"/>
        <w:bottom w:val="none" w:sz="0" w:space="0" w:color="auto"/>
        <w:right w:val="none" w:sz="0" w:space="0" w:color="auto"/>
      </w:divBdr>
    </w:div>
    <w:div w:id="1708484909">
      <w:bodyDiv w:val="1"/>
      <w:marLeft w:val="0"/>
      <w:marRight w:val="0"/>
      <w:marTop w:val="0"/>
      <w:marBottom w:val="0"/>
      <w:divBdr>
        <w:top w:val="none" w:sz="0" w:space="0" w:color="auto"/>
        <w:left w:val="none" w:sz="0" w:space="0" w:color="auto"/>
        <w:bottom w:val="none" w:sz="0" w:space="0" w:color="auto"/>
        <w:right w:val="none" w:sz="0" w:space="0" w:color="auto"/>
      </w:divBdr>
    </w:div>
    <w:div w:id="1714572995">
      <w:bodyDiv w:val="1"/>
      <w:marLeft w:val="0"/>
      <w:marRight w:val="0"/>
      <w:marTop w:val="0"/>
      <w:marBottom w:val="0"/>
      <w:divBdr>
        <w:top w:val="none" w:sz="0" w:space="0" w:color="auto"/>
        <w:left w:val="none" w:sz="0" w:space="0" w:color="auto"/>
        <w:bottom w:val="none" w:sz="0" w:space="0" w:color="auto"/>
        <w:right w:val="none" w:sz="0" w:space="0" w:color="auto"/>
      </w:divBdr>
      <w:divsChild>
        <w:div w:id="96143046">
          <w:marLeft w:val="0"/>
          <w:marRight w:val="0"/>
          <w:marTop w:val="0"/>
          <w:marBottom w:val="0"/>
          <w:divBdr>
            <w:top w:val="none" w:sz="0" w:space="0" w:color="auto"/>
            <w:left w:val="none" w:sz="0" w:space="0" w:color="auto"/>
            <w:bottom w:val="none" w:sz="0" w:space="0" w:color="auto"/>
            <w:right w:val="none" w:sz="0" w:space="0" w:color="auto"/>
          </w:divBdr>
        </w:div>
        <w:div w:id="551118417">
          <w:marLeft w:val="0"/>
          <w:marRight w:val="0"/>
          <w:marTop w:val="0"/>
          <w:marBottom w:val="0"/>
          <w:divBdr>
            <w:top w:val="none" w:sz="0" w:space="0" w:color="auto"/>
            <w:left w:val="none" w:sz="0" w:space="0" w:color="auto"/>
            <w:bottom w:val="none" w:sz="0" w:space="0" w:color="auto"/>
            <w:right w:val="none" w:sz="0" w:space="0" w:color="auto"/>
          </w:divBdr>
        </w:div>
        <w:div w:id="916403611">
          <w:marLeft w:val="0"/>
          <w:marRight w:val="0"/>
          <w:marTop w:val="0"/>
          <w:marBottom w:val="0"/>
          <w:divBdr>
            <w:top w:val="none" w:sz="0" w:space="0" w:color="auto"/>
            <w:left w:val="none" w:sz="0" w:space="0" w:color="auto"/>
            <w:bottom w:val="none" w:sz="0" w:space="0" w:color="auto"/>
            <w:right w:val="none" w:sz="0" w:space="0" w:color="auto"/>
          </w:divBdr>
        </w:div>
        <w:div w:id="1192185176">
          <w:marLeft w:val="0"/>
          <w:marRight w:val="0"/>
          <w:marTop w:val="0"/>
          <w:marBottom w:val="0"/>
          <w:divBdr>
            <w:top w:val="none" w:sz="0" w:space="0" w:color="auto"/>
            <w:left w:val="none" w:sz="0" w:space="0" w:color="auto"/>
            <w:bottom w:val="none" w:sz="0" w:space="0" w:color="auto"/>
            <w:right w:val="none" w:sz="0" w:space="0" w:color="auto"/>
          </w:divBdr>
        </w:div>
        <w:div w:id="1464538915">
          <w:marLeft w:val="0"/>
          <w:marRight w:val="0"/>
          <w:marTop w:val="0"/>
          <w:marBottom w:val="0"/>
          <w:divBdr>
            <w:top w:val="none" w:sz="0" w:space="0" w:color="auto"/>
            <w:left w:val="none" w:sz="0" w:space="0" w:color="auto"/>
            <w:bottom w:val="none" w:sz="0" w:space="0" w:color="auto"/>
            <w:right w:val="none" w:sz="0" w:space="0" w:color="auto"/>
          </w:divBdr>
        </w:div>
      </w:divsChild>
    </w:div>
    <w:div w:id="1739403380">
      <w:bodyDiv w:val="1"/>
      <w:marLeft w:val="0"/>
      <w:marRight w:val="0"/>
      <w:marTop w:val="0"/>
      <w:marBottom w:val="0"/>
      <w:divBdr>
        <w:top w:val="none" w:sz="0" w:space="0" w:color="auto"/>
        <w:left w:val="none" w:sz="0" w:space="0" w:color="auto"/>
        <w:bottom w:val="none" w:sz="0" w:space="0" w:color="auto"/>
        <w:right w:val="none" w:sz="0" w:space="0" w:color="auto"/>
      </w:divBdr>
    </w:div>
    <w:div w:id="1753889478">
      <w:bodyDiv w:val="1"/>
      <w:marLeft w:val="0"/>
      <w:marRight w:val="0"/>
      <w:marTop w:val="0"/>
      <w:marBottom w:val="0"/>
      <w:divBdr>
        <w:top w:val="none" w:sz="0" w:space="0" w:color="auto"/>
        <w:left w:val="none" w:sz="0" w:space="0" w:color="auto"/>
        <w:bottom w:val="none" w:sz="0" w:space="0" w:color="auto"/>
        <w:right w:val="none" w:sz="0" w:space="0" w:color="auto"/>
      </w:divBdr>
    </w:div>
    <w:div w:id="1759015234">
      <w:bodyDiv w:val="1"/>
      <w:marLeft w:val="0"/>
      <w:marRight w:val="0"/>
      <w:marTop w:val="0"/>
      <w:marBottom w:val="0"/>
      <w:divBdr>
        <w:top w:val="none" w:sz="0" w:space="0" w:color="auto"/>
        <w:left w:val="none" w:sz="0" w:space="0" w:color="auto"/>
        <w:bottom w:val="none" w:sz="0" w:space="0" w:color="auto"/>
        <w:right w:val="none" w:sz="0" w:space="0" w:color="auto"/>
      </w:divBdr>
    </w:div>
    <w:div w:id="1771779698">
      <w:bodyDiv w:val="1"/>
      <w:marLeft w:val="0"/>
      <w:marRight w:val="0"/>
      <w:marTop w:val="0"/>
      <w:marBottom w:val="0"/>
      <w:divBdr>
        <w:top w:val="none" w:sz="0" w:space="0" w:color="auto"/>
        <w:left w:val="none" w:sz="0" w:space="0" w:color="auto"/>
        <w:bottom w:val="none" w:sz="0" w:space="0" w:color="auto"/>
        <w:right w:val="none" w:sz="0" w:space="0" w:color="auto"/>
      </w:divBdr>
    </w:div>
    <w:div w:id="1776514798">
      <w:bodyDiv w:val="1"/>
      <w:marLeft w:val="0"/>
      <w:marRight w:val="0"/>
      <w:marTop w:val="0"/>
      <w:marBottom w:val="0"/>
      <w:divBdr>
        <w:top w:val="none" w:sz="0" w:space="0" w:color="auto"/>
        <w:left w:val="none" w:sz="0" w:space="0" w:color="auto"/>
        <w:bottom w:val="none" w:sz="0" w:space="0" w:color="auto"/>
        <w:right w:val="none" w:sz="0" w:space="0" w:color="auto"/>
      </w:divBdr>
    </w:div>
    <w:div w:id="1808160850">
      <w:bodyDiv w:val="1"/>
      <w:marLeft w:val="0"/>
      <w:marRight w:val="0"/>
      <w:marTop w:val="0"/>
      <w:marBottom w:val="0"/>
      <w:divBdr>
        <w:top w:val="none" w:sz="0" w:space="0" w:color="auto"/>
        <w:left w:val="none" w:sz="0" w:space="0" w:color="auto"/>
        <w:bottom w:val="none" w:sz="0" w:space="0" w:color="auto"/>
        <w:right w:val="none" w:sz="0" w:space="0" w:color="auto"/>
      </w:divBdr>
      <w:divsChild>
        <w:div w:id="3098196">
          <w:marLeft w:val="0"/>
          <w:marRight w:val="0"/>
          <w:marTop w:val="0"/>
          <w:marBottom w:val="0"/>
          <w:divBdr>
            <w:top w:val="none" w:sz="0" w:space="0" w:color="auto"/>
            <w:left w:val="none" w:sz="0" w:space="0" w:color="auto"/>
            <w:bottom w:val="none" w:sz="0" w:space="0" w:color="auto"/>
            <w:right w:val="none" w:sz="0" w:space="0" w:color="auto"/>
          </w:divBdr>
        </w:div>
        <w:div w:id="50807499">
          <w:marLeft w:val="0"/>
          <w:marRight w:val="0"/>
          <w:marTop w:val="0"/>
          <w:marBottom w:val="0"/>
          <w:divBdr>
            <w:top w:val="none" w:sz="0" w:space="0" w:color="auto"/>
            <w:left w:val="none" w:sz="0" w:space="0" w:color="auto"/>
            <w:bottom w:val="none" w:sz="0" w:space="0" w:color="auto"/>
            <w:right w:val="none" w:sz="0" w:space="0" w:color="auto"/>
          </w:divBdr>
        </w:div>
        <w:div w:id="54548685">
          <w:marLeft w:val="0"/>
          <w:marRight w:val="0"/>
          <w:marTop w:val="0"/>
          <w:marBottom w:val="0"/>
          <w:divBdr>
            <w:top w:val="none" w:sz="0" w:space="0" w:color="auto"/>
            <w:left w:val="none" w:sz="0" w:space="0" w:color="auto"/>
            <w:bottom w:val="none" w:sz="0" w:space="0" w:color="auto"/>
            <w:right w:val="none" w:sz="0" w:space="0" w:color="auto"/>
          </w:divBdr>
        </w:div>
        <w:div w:id="72510509">
          <w:marLeft w:val="0"/>
          <w:marRight w:val="0"/>
          <w:marTop w:val="0"/>
          <w:marBottom w:val="0"/>
          <w:divBdr>
            <w:top w:val="none" w:sz="0" w:space="0" w:color="auto"/>
            <w:left w:val="none" w:sz="0" w:space="0" w:color="auto"/>
            <w:bottom w:val="none" w:sz="0" w:space="0" w:color="auto"/>
            <w:right w:val="none" w:sz="0" w:space="0" w:color="auto"/>
          </w:divBdr>
        </w:div>
        <w:div w:id="76247584">
          <w:marLeft w:val="0"/>
          <w:marRight w:val="0"/>
          <w:marTop w:val="0"/>
          <w:marBottom w:val="0"/>
          <w:divBdr>
            <w:top w:val="none" w:sz="0" w:space="0" w:color="auto"/>
            <w:left w:val="none" w:sz="0" w:space="0" w:color="auto"/>
            <w:bottom w:val="none" w:sz="0" w:space="0" w:color="auto"/>
            <w:right w:val="none" w:sz="0" w:space="0" w:color="auto"/>
          </w:divBdr>
        </w:div>
        <w:div w:id="95685053">
          <w:marLeft w:val="0"/>
          <w:marRight w:val="0"/>
          <w:marTop w:val="0"/>
          <w:marBottom w:val="0"/>
          <w:divBdr>
            <w:top w:val="none" w:sz="0" w:space="0" w:color="auto"/>
            <w:left w:val="none" w:sz="0" w:space="0" w:color="auto"/>
            <w:bottom w:val="none" w:sz="0" w:space="0" w:color="auto"/>
            <w:right w:val="none" w:sz="0" w:space="0" w:color="auto"/>
          </w:divBdr>
        </w:div>
        <w:div w:id="124930436">
          <w:marLeft w:val="0"/>
          <w:marRight w:val="0"/>
          <w:marTop w:val="0"/>
          <w:marBottom w:val="0"/>
          <w:divBdr>
            <w:top w:val="none" w:sz="0" w:space="0" w:color="auto"/>
            <w:left w:val="none" w:sz="0" w:space="0" w:color="auto"/>
            <w:bottom w:val="none" w:sz="0" w:space="0" w:color="auto"/>
            <w:right w:val="none" w:sz="0" w:space="0" w:color="auto"/>
          </w:divBdr>
        </w:div>
        <w:div w:id="147745673">
          <w:marLeft w:val="0"/>
          <w:marRight w:val="0"/>
          <w:marTop w:val="0"/>
          <w:marBottom w:val="0"/>
          <w:divBdr>
            <w:top w:val="none" w:sz="0" w:space="0" w:color="auto"/>
            <w:left w:val="none" w:sz="0" w:space="0" w:color="auto"/>
            <w:bottom w:val="none" w:sz="0" w:space="0" w:color="auto"/>
            <w:right w:val="none" w:sz="0" w:space="0" w:color="auto"/>
          </w:divBdr>
        </w:div>
        <w:div w:id="207256878">
          <w:marLeft w:val="0"/>
          <w:marRight w:val="0"/>
          <w:marTop w:val="0"/>
          <w:marBottom w:val="0"/>
          <w:divBdr>
            <w:top w:val="none" w:sz="0" w:space="0" w:color="auto"/>
            <w:left w:val="none" w:sz="0" w:space="0" w:color="auto"/>
            <w:bottom w:val="none" w:sz="0" w:space="0" w:color="auto"/>
            <w:right w:val="none" w:sz="0" w:space="0" w:color="auto"/>
          </w:divBdr>
        </w:div>
        <w:div w:id="243925214">
          <w:marLeft w:val="0"/>
          <w:marRight w:val="0"/>
          <w:marTop w:val="0"/>
          <w:marBottom w:val="0"/>
          <w:divBdr>
            <w:top w:val="none" w:sz="0" w:space="0" w:color="auto"/>
            <w:left w:val="none" w:sz="0" w:space="0" w:color="auto"/>
            <w:bottom w:val="none" w:sz="0" w:space="0" w:color="auto"/>
            <w:right w:val="none" w:sz="0" w:space="0" w:color="auto"/>
          </w:divBdr>
        </w:div>
        <w:div w:id="247151991">
          <w:marLeft w:val="0"/>
          <w:marRight w:val="0"/>
          <w:marTop w:val="0"/>
          <w:marBottom w:val="0"/>
          <w:divBdr>
            <w:top w:val="none" w:sz="0" w:space="0" w:color="auto"/>
            <w:left w:val="none" w:sz="0" w:space="0" w:color="auto"/>
            <w:bottom w:val="none" w:sz="0" w:space="0" w:color="auto"/>
            <w:right w:val="none" w:sz="0" w:space="0" w:color="auto"/>
          </w:divBdr>
        </w:div>
        <w:div w:id="253562754">
          <w:marLeft w:val="0"/>
          <w:marRight w:val="0"/>
          <w:marTop w:val="0"/>
          <w:marBottom w:val="0"/>
          <w:divBdr>
            <w:top w:val="none" w:sz="0" w:space="0" w:color="auto"/>
            <w:left w:val="none" w:sz="0" w:space="0" w:color="auto"/>
            <w:bottom w:val="none" w:sz="0" w:space="0" w:color="auto"/>
            <w:right w:val="none" w:sz="0" w:space="0" w:color="auto"/>
          </w:divBdr>
        </w:div>
        <w:div w:id="255672558">
          <w:marLeft w:val="0"/>
          <w:marRight w:val="0"/>
          <w:marTop w:val="0"/>
          <w:marBottom w:val="0"/>
          <w:divBdr>
            <w:top w:val="none" w:sz="0" w:space="0" w:color="auto"/>
            <w:left w:val="none" w:sz="0" w:space="0" w:color="auto"/>
            <w:bottom w:val="none" w:sz="0" w:space="0" w:color="auto"/>
            <w:right w:val="none" w:sz="0" w:space="0" w:color="auto"/>
          </w:divBdr>
        </w:div>
        <w:div w:id="258222558">
          <w:marLeft w:val="0"/>
          <w:marRight w:val="0"/>
          <w:marTop w:val="0"/>
          <w:marBottom w:val="0"/>
          <w:divBdr>
            <w:top w:val="none" w:sz="0" w:space="0" w:color="auto"/>
            <w:left w:val="none" w:sz="0" w:space="0" w:color="auto"/>
            <w:bottom w:val="none" w:sz="0" w:space="0" w:color="auto"/>
            <w:right w:val="none" w:sz="0" w:space="0" w:color="auto"/>
          </w:divBdr>
        </w:div>
        <w:div w:id="296450407">
          <w:marLeft w:val="0"/>
          <w:marRight w:val="0"/>
          <w:marTop w:val="0"/>
          <w:marBottom w:val="0"/>
          <w:divBdr>
            <w:top w:val="none" w:sz="0" w:space="0" w:color="auto"/>
            <w:left w:val="none" w:sz="0" w:space="0" w:color="auto"/>
            <w:bottom w:val="none" w:sz="0" w:space="0" w:color="auto"/>
            <w:right w:val="none" w:sz="0" w:space="0" w:color="auto"/>
          </w:divBdr>
        </w:div>
        <w:div w:id="315500257">
          <w:marLeft w:val="0"/>
          <w:marRight w:val="0"/>
          <w:marTop w:val="0"/>
          <w:marBottom w:val="0"/>
          <w:divBdr>
            <w:top w:val="none" w:sz="0" w:space="0" w:color="auto"/>
            <w:left w:val="none" w:sz="0" w:space="0" w:color="auto"/>
            <w:bottom w:val="none" w:sz="0" w:space="0" w:color="auto"/>
            <w:right w:val="none" w:sz="0" w:space="0" w:color="auto"/>
          </w:divBdr>
        </w:div>
        <w:div w:id="318466334">
          <w:marLeft w:val="0"/>
          <w:marRight w:val="0"/>
          <w:marTop w:val="0"/>
          <w:marBottom w:val="0"/>
          <w:divBdr>
            <w:top w:val="none" w:sz="0" w:space="0" w:color="auto"/>
            <w:left w:val="none" w:sz="0" w:space="0" w:color="auto"/>
            <w:bottom w:val="none" w:sz="0" w:space="0" w:color="auto"/>
            <w:right w:val="none" w:sz="0" w:space="0" w:color="auto"/>
          </w:divBdr>
        </w:div>
        <w:div w:id="391121698">
          <w:marLeft w:val="0"/>
          <w:marRight w:val="0"/>
          <w:marTop w:val="0"/>
          <w:marBottom w:val="0"/>
          <w:divBdr>
            <w:top w:val="none" w:sz="0" w:space="0" w:color="auto"/>
            <w:left w:val="none" w:sz="0" w:space="0" w:color="auto"/>
            <w:bottom w:val="none" w:sz="0" w:space="0" w:color="auto"/>
            <w:right w:val="none" w:sz="0" w:space="0" w:color="auto"/>
          </w:divBdr>
        </w:div>
        <w:div w:id="452796052">
          <w:marLeft w:val="0"/>
          <w:marRight w:val="0"/>
          <w:marTop w:val="0"/>
          <w:marBottom w:val="0"/>
          <w:divBdr>
            <w:top w:val="none" w:sz="0" w:space="0" w:color="auto"/>
            <w:left w:val="none" w:sz="0" w:space="0" w:color="auto"/>
            <w:bottom w:val="none" w:sz="0" w:space="0" w:color="auto"/>
            <w:right w:val="none" w:sz="0" w:space="0" w:color="auto"/>
          </w:divBdr>
        </w:div>
        <w:div w:id="465927912">
          <w:marLeft w:val="0"/>
          <w:marRight w:val="0"/>
          <w:marTop w:val="0"/>
          <w:marBottom w:val="0"/>
          <w:divBdr>
            <w:top w:val="none" w:sz="0" w:space="0" w:color="auto"/>
            <w:left w:val="none" w:sz="0" w:space="0" w:color="auto"/>
            <w:bottom w:val="none" w:sz="0" w:space="0" w:color="auto"/>
            <w:right w:val="none" w:sz="0" w:space="0" w:color="auto"/>
          </w:divBdr>
        </w:div>
        <w:div w:id="468938605">
          <w:marLeft w:val="0"/>
          <w:marRight w:val="0"/>
          <w:marTop w:val="0"/>
          <w:marBottom w:val="0"/>
          <w:divBdr>
            <w:top w:val="none" w:sz="0" w:space="0" w:color="auto"/>
            <w:left w:val="none" w:sz="0" w:space="0" w:color="auto"/>
            <w:bottom w:val="none" w:sz="0" w:space="0" w:color="auto"/>
            <w:right w:val="none" w:sz="0" w:space="0" w:color="auto"/>
          </w:divBdr>
        </w:div>
        <w:div w:id="470755120">
          <w:marLeft w:val="0"/>
          <w:marRight w:val="0"/>
          <w:marTop w:val="0"/>
          <w:marBottom w:val="0"/>
          <w:divBdr>
            <w:top w:val="none" w:sz="0" w:space="0" w:color="auto"/>
            <w:left w:val="none" w:sz="0" w:space="0" w:color="auto"/>
            <w:bottom w:val="none" w:sz="0" w:space="0" w:color="auto"/>
            <w:right w:val="none" w:sz="0" w:space="0" w:color="auto"/>
          </w:divBdr>
        </w:div>
        <w:div w:id="496727693">
          <w:marLeft w:val="0"/>
          <w:marRight w:val="0"/>
          <w:marTop w:val="0"/>
          <w:marBottom w:val="0"/>
          <w:divBdr>
            <w:top w:val="none" w:sz="0" w:space="0" w:color="auto"/>
            <w:left w:val="none" w:sz="0" w:space="0" w:color="auto"/>
            <w:bottom w:val="none" w:sz="0" w:space="0" w:color="auto"/>
            <w:right w:val="none" w:sz="0" w:space="0" w:color="auto"/>
          </w:divBdr>
        </w:div>
        <w:div w:id="505098715">
          <w:marLeft w:val="0"/>
          <w:marRight w:val="0"/>
          <w:marTop w:val="0"/>
          <w:marBottom w:val="0"/>
          <w:divBdr>
            <w:top w:val="none" w:sz="0" w:space="0" w:color="auto"/>
            <w:left w:val="none" w:sz="0" w:space="0" w:color="auto"/>
            <w:bottom w:val="none" w:sz="0" w:space="0" w:color="auto"/>
            <w:right w:val="none" w:sz="0" w:space="0" w:color="auto"/>
          </w:divBdr>
        </w:div>
        <w:div w:id="516769404">
          <w:marLeft w:val="0"/>
          <w:marRight w:val="0"/>
          <w:marTop w:val="0"/>
          <w:marBottom w:val="0"/>
          <w:divBdr>
            <w:top w:val="none" w:sz="0" w:space="0" w:color="auto"/>
            <w:left w:val="none" w:sz="0" w:space="0" w:color="auto"/>
            <w:bottom w:val="none" w:sz="0" w:space="0" w:color="auto"/>
            <w:right w:val="none" w:sz="0" w:space="0" w:color="auto"/>
          </w:divBdr>
        </w:div>
        <w:div w:id="537205082">
          <w:marLeft w:val="0"/>
          <w:marRight w:val="0"/>
          <w:marTop w:val="0"/>
          <w:marBottom w:val="0"/>
          <w:divBdr>
            <w:top w:val="none" w:sz="0" w:space="0" w:color="auto"/>
            <w:left w:val="none" w:sz="0" w:space="0" w:color="auto"/>
            <w:bottom w:val="none" w:sz="0" w:space="0" w:color="auto"/>
            <w:right w:val="none" w:sz="0" w:space="0" w:color="auto"/>
          </w:divBdr>
        </w:div>
        <w:div w:id="537397163">
          <w:marLeft w:val="0"/>
          <w:marRight w:val="0"/>
          <w:marTop w:val="0"/>
          <w:marBottom w:val="0"/>
          <w:divBdr>
            <w:top w:val="none" w:sz="0" w:space="0" w:color="auto"/>
            <w:left w:val="none" w:sz="0" w:space="0" w:color="auto"/>
            <w:bottom w:val="none" w:sz="0" w:space="0" w:color="auto"/>
            <w:right w:val="none" w:sz="0" w:space="0" w:color="auto"/>
          </w:divBdr>
        </w:div>
        <w:div w:id="561253210">
          <w:marLeft w:val="0"/>
          <w:marRight w:val="0"/>
          <w:marTop w:val="0"/>
          <w:marBottom w:val="0"/>
          <w:divBdr>
            <w:top w:val="none" w:sz="0" w:space="0" w:color="auto"/>
            <w:left w:val="none" w:sz="0" w:space="0" w:color="auto"/>
            <w:bottom w:val="none" w:sz="0" w:space="0" w:color="auto"/>
            <w:right w:val="none" w:sz="0" w:space="0" w:color="auto"/>
          </w:divBdr>
        </w:div>
        <w:div w:id="575553317">
          <w:marLeft w:val="0"/>
          <w:marRight w:val="0"/>
          <w:marTop w:val="0"/>
          <w:marBottom w:val="0"/>
          <w:divBdr>
            <w:top w:val="none" w:sz="0" w:space="0" w:color="auto"/>
            <w:left w:val="none" w:sz="0" w:space="0" w:color="auto"/>
            <w:bottom w:val="none" w:sz="0" w:space="0" w:color="auto"/>
            <w:right w:val="none" w:sz="0" w:space="0" w:color="auto"/>
          </w:divBdr>
        </w:div>
        <w:div w:id="581792941">
          <w:marLeft w:val="0"/>
          <w:marRight w:val="0"/>
          <w:marTop w:val="0"/>
          <w:marBottom w:val="0"/>
          <w:divBdr>
            <w:top w:val="none" w:sz="0" w:space="0" w:color="auto"/>
            <w:left w:val="none" w:sz="0" w:space="0" w:color="auto"/>
            <w:bottom w:val="none" w:sz="0" w:space="0" w:color="auto"/>
            <w:right w:val="none" w:sz="0" w:space="0" w:color="auto"/>
          </w:divBdr>
        </w:div>
        <w:div w:id="590435463">
          <w:marLeft w:val="0"/>
          <w:marRight w:val="0"/>
          <w:marTop w:val="0"/>
          <w:marBottom w:val="0"/>
          <w:divBdr>
            <w:top w:val="none" w:sz="0" w:space="0" w:color="auto"/>
            <w:left w:val="none" w:sz="0" w:space="0" w:color="auto"/>
            <w:bottom w:val="none" w:sz="0" w:space="0" w:color="auto"/>
            <w:right w:val="none" w:sz="0" w:space="0" w:color="auto"/>
          </w:divBdr>
        </w:div>
        <w:div w:id="611935081">
          <w:marLeft w:val="0"/>
          <w:marRight w:val="0"/>
          <w:marTop w:val="0"/>
          <w:marBottom w:val="0"/>
          <w:divBdr>
            <w:top w:val="none" w:sz="0" w:space="0" w:color="auto"/>
            <w:left w:val="none" w:sz="0" w:space="0" w:color="auto"/>
            <w:bottom w:val="none" w:sz="0" w:space="0" w:color="auto"/>
            <w:right w:val="none" w:sz="0" w:space="0" w:color="auto"/>
          </w:divBdr>
        </w:div>
        <w:div w:id="621301630">
          <w:marLeft w:val="0"/>
          <w:marRight w:val="0"/>
          <w:marTop w:val="0"/>
          <w:marBottom w:val="0"/>
          <w:divBdr>
            <w:top w:val="none" w:sz="0" w:space="0" w:color="auto"/>
            <w:left w:val="none" w:sz="0" w:space="0" w:color="auto"/>
            <w:bottom w:val="none" w:sz="0" w:space="0" w:color="auto"/>
            <w:right w:val="none" w:sz="0" w:space="0" w:color="auto"/>
          </w:divBdr>
        </w:div>
        <w:div w:id="625891894">
          <w:marLeft w:val="0"/>
          <w:marRight w:val="0"/>
          <w:marTop w:val="0"/>
          <w:marBottom w:val="0"/>
          <w:divBdr>
            <w:top w:val="none" w:sz="0" w:space="0" w:color="auto"/>
            <w:left w:val="none" w:sz="0" w:space="0" w:color="auto"/>
            <w:bottom w:val="none" w:sz="0" w:space="0" w:color="auto"/>
            <w:right w:val="none" w:sz="0" w:space="0" w:color="auto"/>
          </w:divBdr>
        </w:div>
        <w:div w:id="657268412">
          <w:marLeft w:val="0"/>
          <w:marRight w:val="0"/>
          <w:marTop w:val="0"/>
          <w:marBottom w:val="0"/>
          <w:divBdr>
            <w:top w:val="none" w:sz="0" w:space="0" w:color="auto"/>
            <w:left w:val="none" w:sz="0" w:space="0" w:color="auto"/>
            <w:bottom w:val="none" w:sz="0" w:space="0" w:color="auto"/>
            <w:right w:val="none" w:sz="0" w:space="0" w:color="auto"/>
          </w:divBdr>
        </w:div>
        <w:div w:id="675427361">
          <w:marLeft w:val="0"/>
          <w:marRight w:val="0"/>
          <w:marTop w:val="0"/>
          <w:marBottom w:val="0"/>
          <w:divBdr>
            <w:top w:val="none" w:sz="0" w:space="0" w:color="auto"/>
            <w:left w:val="none" w:sz="0" w:space="0" w:color="auto"/>
            <w:bottom w:val="none" w:sz="0" w:space="0" w:color="auto"/>
            <w:right w:val="none" w:sz="0" w:space="0" w:color="auto"/>
          </w:divBdr>
        </w:div>
        <w:div w:id="679165696">
          <w:marLeft w:val="0"/>
          <w:marRight w:val="0"/>
          <w:marTop w:val="0"/>
          <w:marBottom w:val="0"/>
          <w:divBdr>
            <w:top w:val="none" w:sz="0" w:space="0" w:color="auto"/>
            <w:left w:val="none" w:sz="0" w:space="0" w:color="auto"/>
            <w:bottom w:val="none" w:sz="0" w:space="0" w:color="auto"/>
            <w:right w:val="none" w:sz="0" w:space="0" w:color="auto"/>
          </w:divBdr>
        </w:div>
        <w:div w:id="683827944">
          <w:marLeft w:val="0"/>
          <w:marRight w:val="0"/>
          <w:marTop w:val="0"/>
          <w:marBottom w:val="0"/>
          <w:divBdr>
            <w:top w:val="none" w:sz="0" w:space="0" w:color="auto"/>
            <w:left w:val="none" w:sz="0" w:space="0" w:color="auto"/>
            <w:bottom w:val="none" w:sz="0" w:space="0" w:color="auto"/>
            <w:right w:val="none" w:sz="0" w:space="0" w:color="auto"/>
          </w:divBdr>
        </w:div>
        <w:div w:id="686558946">
          <w:marLeft w:val="0"/>
          <w:marRight w:val="0"/>
          <w:marTop w:val="0"/>
          <w:marBottom w:val="0"/>
          <w:divBdr>
            <w:top w:val="none" w:sz="0" w:space="0" w:color="auto"/>
            <w:left w:val="none" w:sz="0" w:space="0" w:color="auto"/>
            <w:bottom w:val="none" w:sz="0" w:space="0" w:color="auto"/>
            <w:right w:val="none" w:sz="0" w:space="0" w:color="auto"/>
          </w:divBdr>
        </w:div>
        <w:div w:id="703791547">
          <w:marLeft w:val="0"/>
          <w:marRight w:val="0"/>
          <w:marTop w:val="0"/>
          <w:marBottom w:val="0"/>
          <w:divBdr>
            <w:top w:val="none" w:sz="0" w:space="0" w:color="auto"/>
            <w:left w:val="none" w:sz="0" w:space="0" w:color="auto"/>
            <w:bottom w:val="none" w:sz="0" w:space="0" w:color="auto"/>
            <w:right w:val="none" w:sz="0" w:space="0" w:color="auto"/>
          </w:divBdr>
        </w:div>
        <w:div w:id="727191321">
          <w:marLeft w:val="0"/>
          <w:marRight w:val="0"/>
          <w:marTop w:val="0"/>
          <w:marBottom w:val="0"/>
          <w:divBdr>
            <w:top w:val="none" w:sz="0" w:space="0" w:color="auto"/>
            <w:left w:val="none" w:sz="0" w:space="0" w:color="auto"/>
            <w:bottom w:val="none" w:sz="0" w:space="0" w:color="auto"/>
            <w:right w:val="none" w:sz="0" w:space="0" w:color="auto"/>
          </w:divBdr>
        </w:div>
        <w:div w:id="729498971">
          <w:marLeft w:val="0"/>
          <w:marRight w:val="0"/>
          <w:marTop w:val="0"/>
          <w:marBottom w:val="0"/>
          <w:divBdr>
            <w:top w:val="none" w:sz="0" w:space="0" w:color="auto"/>
            <w:left w:val="none" w:sz="0" w:space="0" w:color="auto"/>
            <w:bottom w:val="none" w:sz="0" w:space="0" w:color="auto"/>
            <w:right w:val="none" w:sz="0" w:space="0" w:color="auto"/>
          </w:divBdr>
        </w:div>
        <w:div w:id="758138830">
          <w:marLeft w:val="0"/>
          <w:marRight w:val="0"/>
          <w:marTop w:val="0"/>
          <w:marBottom w:val="0"/>
          <w:divBdr>
            <w:top w:val="none" w:sz="0" w:space="0" w:color="auto"/>
            <w:left w:val="none" w:sz="0" w:space="0" w:color="auto"/>
            <w:bottom w:val="none" w:sz="0" w:space="0" w:color="auto"/>
            <w:right w:val="none" w:sz="0" w:space="0" w:color="auto"/>
          </w:divBdr>
        </w:div>
        <w:div w:id="764569360">
          <w:marLeft w:val="0"/>
          <w:marRight w:val="0"/>
          <w:marTop w:val="0"/>
          <w:marBottom w:val="0"/>
          <w:divBdr>
            <w:top w:val="none" w:sz="0" w:space="0" w:color="auto"/>
            <w:left w:val="none" w:sz="0" w:space="0" w:color="auto"/>
            <w:bottom w:val="none" w:sz="0" w:space="0" w:color="auto"/>
            <w:right w:val="none" w:sz="0" w:space="0" w:color="auto"/>
          </w:divBdr>
        </w:div>
        <w:div w:id="816652942">
          <w:marLeft w:val="0"/>
          <w:marRight w:val="0"/>
          <w:marTop w:val="0"/>
          <w:marBottom w:val="0"/>
          <w:divBdr>
            <w:top w:val="none" w:sz="0" w:space="0" w:color="auto"/>
            <w:left w:val="none" w:sz="0" w:space="0" w:color="auto"/>
            <w:bottom w:val="none" w:sz="0" w:space="0" w:color="auto"/>
            <w:right w:val="none" w:sz="0" w:space="0" w:color="auto"/>
          </w:divBdr>
        </w:div>
        <w:div w:id="858737802">
          <w:marLeft w:val="0"/>
          <w:marRight w:val="0"/>
          <w:marTop w:val="0"/>
          <w:marBottom w:val="0"/>
          <w:divBdr>
            <w:top w:val="none" w:sz="0" w:space="0" w:color="auto"/>
            <w:left w:val="none" w:sz="0" w:space="0" w:color="auto"/>
            <w:bottom w:val="none" w:sz="0" w:space="0" w:color="auto"/>
            <w:right w:val="none" w:sz="0" w:space="0" w:color="auto"/>
          </w:divBdr>
        </w:div>
        <w:div w:id="890926748">
          <w:marLeft w:val="0"/>
          <w:marRight w:val="0"/>
          <w:marTop w:val="0"/>
          <w:marBottom w:val="0"/>
          <w:divBdr>
            <w:top w:val="none" w:sz="0" w:space="0" w:color="auto"/>
            <w:left w:val="none" w:sz="0" w:space="0" w:color="auto"/>
            <w:bottom w:val="none" w:sz="0" w:space="0" w:color="auto"/>
            <w:right w:val="none" w:sz="0" w:space="0" w:color="auto"/>
          </w:divBdr>
        </w:div>
        <w:div w:id="958419013">
          <w:marLeft w:val="0"/>
          <w:marRight w:val="0"/>
          <w:marTop w:val="0"/>
          <w:marBottom w:val="0"/>
          <w:divBdr>
            <w:top w:val="none" w:sz="0" w:space="0" w:color="auto"/>
            <w:left w:val="none" w:sz="0" w:space="0" w:color="auto"/>
            <w:bottom w:val="none" w:sz="0" w:space="0" w:color="auto"/>
            <w:right w:val="none" w:sz="0" w:space="0" w:color="auto"/>
          </w:divBdr>
        </w:div>
        <w:div w:id="963534225">
          <w:marLeft w:val="0"/>
          <w:marRight w:val="0"/>
          <w:marTop w:val="0"/>
          <w:marBottom w:val="0"/>
          <w:divBdr>
            <w:top w:val="none" w:sz="0" w:space="0" w:color="auto"/>
            <w:left w:val="none" w:sz="0" w:space="0" w:color="auto"/>
            <w:bottom w:val="none" w:sz="0" w:space="0" w:color="auto"/>
            <w:right w:val="none" w:sz="0" w:space="0" w:color="auto"/>
          </w:divBdr>
        </w:div>
        <w:div w:id="1003820237">
          <w:marLeft w:val="0"/>
          <w:marRight w:val="0"/>
          <w:marTop w:val="0"/>
          <w:marBottom w:val="0"/>
          <w:divBdr>
            <w:top w:val="none" w:sz="0" w:space="0" w:color="auto"/>
            <w:left w:val="none" w:sz="0" w:space="0" w:color="auto"/>
            <w:bottom w:val="none" w:sz="0" w:space="0" w:color="auto"/>
            <w:right w:val="none" w:sz="0" w:space="0" w:color="auto"/>
          </w:divBdr>
        </w:div>
        <w:div w:id="1032926666">
          <w:marLeft w:val="0"/>
          <w:marRight w:val="0"/>
          <w:marTop w:val="0"/>
          <w:marBottom w:val="0"/>
          <w:divBdr>
            <w:top w:val="none" w:sz="0" w:space="0" w:color="auto"/>
            <w:left w:val="none" w:sz="0" w:space="0" w:color="auto"/>
            <w:bottom w:val="none" w:sz="0" w:space="0" w:color="auto"/>
            <w:right w:val="none" w:sz="0" w:space="0" w:color="auto"/>
          </w:divBdr>
        </w:div>
        <w:div w:id="1073088125">
          <w:marLeft w:val="0"/>
          <w:marRight w:val="0"/>
          <w:marTop w:val="0"/>
          <w:marBottom w:val="0"/>
          <w:divBdr>
            <w:top w:val="none" w:sz="0" w:space="0" w:color="auto"/>
            <w:left w:val="none" w:sz="0" w:space="0" w:color="auto"/>
            <w:bottom w:val="none" w:sz="0" w:space="0" w:color="auto"/>
            <w:right w:val="none" w:sz="0" w:space="0" w:color="auto"/>
          </w:divBdr>
        </w:div>
        <w:div w:id="1079329719">
          <w:marLeft w:val="0"/>
          <w:marRight w:val="0"/>
          <w:marTop w:val="0"/>
          <w:marBottom w:val="0"/>
          <w:divBdr>
            <w:top w:val="none" w:sz="0" w:space="0" w:color="auto"/>
            <w:left w:val="none" w:sz="0" w:space="0" w:color="auto"/>
            <w:bottom w:val="none" w:sz="0" w:space="0" w:color="auto"/>
            <w:right w:val="none" w:sz="0" w:space="0" w:color="auto"/>
          </w:divBdr>
        </w:div>
        <w:div w:id="1100568829">
          <w:marLeft w:val="0"/>
          <w:marRight w:val="0"/>
          <w:marTop w:val="0"/>
          <w:marBottom w:val="0"/>
          <w:divBdr>
            <w:top w:val="none" w:sz="0" w:space="0" w:color="auto"/>
            <w:left w:val="none" w:sz="0" w:space="0" w:color="auto"/>
            <w:bottom w:val="none" w:sz="0" w:space="0" w:color="auto"/>
            <w:right w:val="none" w:sz="0" w:space="0" w:color="auto"/>
          </w:divBdr>
        </w:div>
        <w:div w:id="1118717544">
          <w:marLeft w:val="0"/>
          <w:marRight w:val="0"/>
          <w:marTop w:val="0"/>
          <w:marBottom w:val="0"/>
          <w:divBdr>
            <w:top w:val="none" w:sz="0" w:space="0" w:color="auto"/>
            <w:left w:val="none" w:sz="0" w:space="0" w:color="auto"/>
            <w:bottom w:val="none" w:sz="0" w:space="0" w:color="auto"/>
            <w:right w:val="none" w:sz="0" w:space="0" w:color="auto"/>
          </w:divBdr>
        </w:div>
        <w:div w:id="1123187739">
          <w:marLeft w:val="0"/>
          <w:marRight w:val="0"/>
          <w:marTop w:val="0"/>
          <w:marBottom w:val="0"/>
          <w:divBdr>
            <w:top w:val="none" w:sz="0" w:space="0" w:color="auto"/>
            <w:left w:val="none" w:sz="0" w:space="0" w:color="auto"/>
            <w:bottom w:val="none" w:sz="0" w:space="0" w:color="auto"/>
            <w:right w:val="none" w:sz="0" w:space="0" w:color="auto"/>
          </w:divBdr>
        </w:div>
        <w:div w:id="1138229449">
          <w:marLeft w:val="0"/>
          <w:marRight w:val="0"/>
          <w:marTop w:val="0"/>
          <w:marBottom w:val="0"/>
          <w:divBdr>
            <w:top w:val="none" w:sz="0" w:space="0" w:color="auto"/>
            <w:left w:val="none" w:sz="0" w:space="0" w:color="auto"/>
            <w:bottom w:val="none" w:sz="0" w:space="0" w:color="auto"/>
            <w:right w:val="none" w:sz="0" w:space="0" w:color="auto"/>
          </w:divBdr>
        </w:div>
        <w:div w:id="1162157923">
          <w:marLeft w:val="0"/>
          <w:marRight w:val="0"/>
          <w:marTop w:val="0"/>
          <w:marBottom w:val="0"/>
          <w:divBdr>
            <w:top w:val="none" w:sz="0" w:space="0" w:color="auto"/>
            <w:left w:val="none" w:sz="0" w:space="0" w:color="auto"/>
            <w:bottom w:val="none" w:sz="0" w:space="0" w:color="auto"/>
            <w:right w:val="none" w:sz="0" w:space="0" w:color="auto"/>
          </w:divBdr>
        </w:div>
        <w:div w:id="1179154580">
          <w:marLeft w:val="0"/>
          <w:marRight w:val="0"/>
          <w:marTop w:val="0"/>
          <w:marBottom w:val="0"/>
          <w:divBdr>
            <w:top w:val="none" w:sz="0" w:space="0" w:color="auto"/>
            <w:left w:val="none" w:sz="0" w:space="0" w:color="auto"/>
            <w:bottom w:val="none" w:sz="0" w:space="0" w:color="auto"/>
            <w:right w:val="none" w:sz="0" w:space="0" w:color="auto"/>
          </w:divBdr>
        </w:div>
        <w:div w:id="1207524887">
          <w:marLeft w:val="0"/>
          <w:marRight w:val="0"/>
          <w:marTop w:val="0"/>
          <w:marBottom w:val="0"/>
          <w:divBdr>
            <w:top w:val="none" w:sz="0" w:space="0" w:color="auto"/>
            <w:left w:val="none" w:sz="0" w:space="0" w:color="auto"/>
            <w:bottom w:val="none" w:sz="0" w:space="0" w:color="auto"/>
            <w:right w:val="none" w:sz="0" w:space="0" w:color="auto"/>
          </w:divBdr>
        </w:div>
        <w:div w:id="1233152091">
          <w:marLeft w:val="0"/>
          <w:marRight w:val="0"/>
          <w:marTop w:val="0"/>
          <w:marBottom w:val="0"/>
          <w:divBdr>
            <w:top w:val="none" w:sz="0" w:space="0" w:color="auto"/>
            <w:left w:val="none" w:sz="0" w:space="0" w:color="auto"/>
            <w:bottom w:val="none" w:sz="0" w:space="0" w:color="auto"/>
            <w:right w:val="none" w:sz="0" w:space="0" w:color="auto"/>
          </w:divBdr>
        </w:div>
        <w:div w:id="1236358959">
          <w:marLeft w:val="0"/>
          <w:marRight w:val="0"/>
          <w:marTop w:val="0"/>
          <w:marBottom w:val="0"/>
          <w:divBdr>
            <w:top w:val="none" w:sz="0" w:space="0" w:color="auto"/>
            <w:left w:val="none" w:sz="0" w:space="0" w:color="auto"/>
            <w:bottom w:val="none" w:sz="0" w:space="0" w:color="auto"/>
            <w:right w:val="none" w:sz="0" w:space="0" w:color="auto"/>
          </w:divBdr>
        </w:div>
        <w:div w:id="1269657957">
          <w:marLeft w:val="0"/>
          <w:marRight w:val="0"/>
          <w:marTop w:val="0"/>
          <w:marBottom w:val="0"/>
          <w:divBdr>
            <w:top w:val="none" w:sz="0" w:space="0" w:color="auto"/>
            <w:left w:val="none" w:sz="0" w:space="0" w:color="auto"/>
            <w:bottom w:val="none" w:sz="0" w:space="0" w:color="auto"/>
            <w:right w:val="none" w:sz="0" w:space="0" w:color="auto"/>
          </w:divBdr>
        </w:div>
        <w:div w:id="1269894622">
          <w:marLeft w:val="0"/>
          <w:marRight w:val="0"/>
          <w:marTop w:val="0"/>
          <w:marBottom w:val="0"/>
          <w:divBdr>
            <w:top w:val="none" w:sz="0" w:space="0" w:color="auto"/>
            <w:left w:val="none" w:sz="0" w:space="0" w:color="auto"/>
            <w:bottom w:val="none" w:sz="0" w:space="0" w:color="auto"/>
            <w:right w:val="none" w:sz="0" w:space="0" w:color="auto"/>
          </w:divBdr>
        </w:div>
        <w:div w:id="1273511243">
          <w:marLeft w:val="0"/>
          <w:marRight w:val="0"/>
          <w:marTop w:val="0"/>
          <w:marBottom w:val="0"/>
          <w:divBdr>
            <w:top w:val="none" w:sz="0" w:space="0" w:color="auto"/>
            <w:left w:val="none" w:sz="0" w:space="0" w:color="auto"/>
            <w:bottom w:val="none" w:sz="0" w:space="0" w:color="auto"/>
            <w:right w:val="none" w:sz="0" w:space="0" w:color="auto"/>
          </w:divBdr>
        </w:div>
        <w:div w:id="1287275110">
          <w:marLeft w:val="0"/>
          <w:marRight w:val="0"/>
          <w:marTop w:val="0"/>
          <w:marBottom w:val="0"/>
          <w:divBdr>
            <w:top w:val="none" w:sz="0" w:space="0" w:color="auto"/>
            <w:left w:val="none" w:sz="0" w:space="0" w:color="auto"/>
            <w:bottom w:val="none" w:sz="0" w:space="0" w:color="auto"/>
            <w:right w:val="none" w:sz="0" w:space="0" w:color="auto"/>
          </w:divBdr>
        </w:div>
        <w:div w:id="1317219264">
          <w:marLeft w:val="0"/>
          <w:marRight w:val="0"/>
          <w:marTop w:val="0"/>
          <w:marBottom w:val="0"/>
          <w:divBdr>
            <w:top w:val="none" w:sz="0" w:space="0" w:color="auto"/>
            <w:left w:val="none" w:sz="0" w:space="0" w:color="auto"/>
            <w:bottom w:val="none" w:sz="0" w:space="0" w:color="auto"/>
            <w:right w:val="none" w:sz="0" w:space="0" w:color="auto"/>
          </w:divBdr>
        </w:div>
        <w:div w:id="1350137656">
          <w:marLeft w:val="0"/>
          <w:marRight w:val="0"/>
          <w:marTop w:val="0"/>
          <w:marBottom w:val="0"/>
          <w:divBdr>
            <w:top w:val="none" w:sz="0" w:space="0" w:color="auto"/>
            <w:left w:val="none" w:sz="0" w:space="0" w:color="auto"/>
            <w:bottom w:val="none" w:sz="0" w:space="0" w:color="auto"/>
            <w:right w:val="none" w:sz="0" w:space="0" w:color="auto"/>
          </w:divBdr>
        </w:div>
        <w:div w:id="1352683806">
          <w:marLeft w:val="0"/>
          <w:marRight w:val="0"/>
          <w:marTop w:val="0"/>
          <w:marBottom w:val="0"/>
          <w:divBdr>
            <w:top w:val="none" w:sz="0" w:space="0" w:color="auto"/>
            <w:left w:val="none" w:sz="0" w:space="0" w:color="auto"/>
            <w:bottom w:val="none" w:sz="0" w:space="0" w:color="auto"/>
            <w:right w:val="none" w:sz="0" w:space="0" w:color="auto"/>
          </w:divBdr>
        </w:div>
        <w:div w:id="1355696057">
          <w:marLeft w:val="0"/>
          <w:marRight w:val="0"/>
          <w:marTop w:val="0"/>
          <w:marBottom w:val="0"/>
          <w:divBdr>
            <w:top w:val="none" w:sz="0" w:space="0" w:color="auto"/>
            <w:left w:val="none" w:sz="0" w:space="0" w:color="auto"/>
            <w:bottom w:val="none" w:sz="0" w:space="0" w:color="auto"/>
            <w:right w:val="none" w:sz="0" w:space="0" w:color="auto"/>
          </w:divBdr>
        </w:div>
        <w:div w:id="1439523014">
          <w:marLeft w:val="0"/>
          <w:marRight w:val="0"/>
          <w:marTop w:val="0"/>
          <w:marBottom w:val="0"/>
          <w:divBdr>
            <w:top w:val="none" w:sz="0" w:space="0" w:color="auto"/>
            <w:left w:val="none" w:sz="0" w:space="0" w:color="auto"/>
            <w:bottom w:val="none" w:sz="0" w:space="0" w:color="auto"/>
            <w:right w:val="none" w:sz="0" w:space="0" w:color="auto"/>
          </w:divBdr>
        </w:div>
        <w:div w:id="1486504721">
          <w:marLeft w:val="0"/>
          <w:marRight w:val="0"/>
          <w:marTop w:val="0"/>
          <w:marBottom w:val="0"/>
          <w:divBdr>
            <w:top w:val="none" w:sz="0" w:space="0" w:color="auto"/>
            <w:left w:val="none" w:sz="0" w:space="0" w:color="auto"/>
            <w:bottom w:val="none" w:sz="0" w:space="0" w:color="auto"/>
            <w:right w:val="none" w:sz="0" w:space="0" w:color="auto"/>
          </w:divBdr>
        </w:div>
        <w:div w:id="1488478655">
          <w:marLeft w:val="0"/>
          <w:marRight w:val="0"/>
          <w:marTop w:val="0"/>
          <w:marBottom w:val="0"/>
          <w:divBdr>
            <w:top w:val="none" w:sz="0" w:space="0" w:color="auto"/>
            <w:left w:val="none" w:sz="0" w:space="0" w:color="auto"/>
            <w:bottom w:val="none" w:sz="0" w:space="0" w:color="auto"/>
            <w:right w:val="none" w:sz="0" w:space="0" w:color="auto"/>
          </w:divBdr>
        </w:div>
        <w:div w:id="1512141023">
          <w:marLeft w:val="0"/>
          <w:marRight w:val="0"/>
          <w:marTop w:val="0"/>
          <w:marBottom w:val="0"/>
          <w:divBdr>
            <w:top w:val="none" w:sz="0" w:space="0" w:color="auto"/>
            <w:left w:val="none" w:sz="0" w:space="0" w:color="auto"/>
            <w:bottom w:val="none" w:sz="0" w:space="0" w:color="auto"/>
            <w:right w:val="none" w:sz="0" w:space="0" w:color="auto"/>
          </w:divBdr>
        </w:div>
        <w:div w:id="1513375053">
          <w:marLeft w:val="0"/>
          <w:marRight w:val="0"/>
          <w:marTop w:val="0"/>
          <w:marBottom w:val="0"/>
          <w:divBdr>
            <w:top w:val="none" w:sz="0" w:space="0" w:color="auto"/>
            <w:left w:val="none" w:sz="0" w:space="0" w:color="auto"/>
            <w:bottom w:val="none" w:sz="0" w:space="0" w:color="auto"/>
            <w:right w:val="none" w:sz="0" w:space="0" w:color="auto"/>
          </w:divBdr>
        </w:div>
        <w:div w:id="1515193675">
          <w:marLeft w:val="0"/>
          <w:marRight w:val="0"/>
          <w:marTop w:val="0"/>
          <w:marBottom w:val="0"/>
          <w:divBdr>
            <w:top w:val="none" w:sz="0" w:space="0" w:color="auto"/>
            <w:left w:val="none" w:sz="0" w:space="0" w:color="auto"/>
            <w:bottom w:val="none" w:sz="0" w:space="0" w:color="auto"/>
            <w:right w:val="none" w:sz="0" w:space="0" w:color="auto"/>
          </w:divBdr>
        </w:div>
        <w:div w:id="1534541715">
          <w:marLeft w:val="0"/>
          <w:marRight w:val="0"/>
          <w:marTop w:val="0"/>
          <w:marBottom w:val="0"/>
          <w:divBdr>
            <w:top w:val="none" w:sz="0" w:space="0" w:color="auto"/>
            <w:left w:val="none" w:sz="0" w:space="0" w:color="auto"/>
            <w:bottom w:val="none" w:sz="0" w:space="0" w:color="auto"/>
            <w:right w:val="none" w:sz="0" w:space="0" w:color="auto"/>
          </w:divBdr>
        </w:div>
        <w:div w:id="1543859289">
          <w:marLeft w:val="0"/>
          <w:marRight w:val="0"/>
          <w:marTop w:val="0"/>
          <w:marBottom w:val="0"/>
          <w:divBdr>
            <w:top w:val="none" w:sz="0" w:space="0" w:color="auto"/>
            <w:left w:val="none" w:sz="0" w:space="0" w:color="auto"/>
            <w:bottom w:val="none" w:sz="0" w:space="0" w:color="auto"/>
            <w:right w:val="none" w:sz="0" w:space="0" w:color="auto"/>
          </w:divBdr>
        </w:div>
        <w:div w:id="1612126399">
          <w:marLeft w:val="0"/>
          <w:marRight w:val="0"/>
          <w:marTop w:val="0"/>
          <w:marBottom w:val="0"/>
          <w:divBdr>
            <w:top w:val="none" w:sz="0" w:space="0" w:color="auto"/>
            <w:left w:val="none" w:sz="0" w:space="0" w:color="auto"/>
            <w:bottom w:val="none" w:sz="0" w:space="0" w:color="auto"/>
            <w:right w:val="none" w:sz="0" w:space="0" w:color="auto"/>
          </w:divBdr>
        </w:div>
        <w:div w:id="1621957353">
          <w:marLeft w:val="0"/>
          <w:marRight w:val="0"/>
          <w:marTop w:val="0"/>
          <w:marBottom w:val="0"/>
          <w:divBdr>
            <w:top w:val="none" w:sz="0" w:space="0" w:color="auto"/>
            <w:left w:val="none" w:sz="0" w:space="0" w:color="auto"/>
            <w:bottom w:val="none" w:sz="0" w:space="0" w:color="auto"/>
            <w:right w:val="none" w:sz="0" w:space="0" w:color="auto"/>
          </w:divBdr>
        </w:div>
        <w:div w:id="1640837137">
          <w:marLeft w:val="0"/>
          <w:marRight w:val="0"/>
          <w:marTop w:val="0"/>
          <w:marBottom w:val="0"/>
          <w:divBdr>
            <w:top w:val="none" w:sz="0" w:space="0" w:color="auto"/>
            <w:left w:val="none" w:sz="0" w:space="0" w:color="auto"/>
            <w:bottom w:val="none" w:sz="0" w:space="0" w:color="auto"/>
            <w:right w:val="none" w:sz="0" w:space="0" w:color="auto"/>
          </w:divBdr>
        </w:div>
        <w:div w:id="1661419010">
          <w:marLeft w:val="0"/>
          <w:marRight w:val="0"/>
          <w:marTop w:val="0"/>
          <w:marBottom w:val="0"/>
          <w:divBdr>
            <w:top w:val="none" w:sz="0" w:space="0" w:color="auto"/>
            <w:left w:val="none" w:sz="0" w:space="0" w:color="auto"/>
            <w:bottom w:val="none" w:sz="0" w:space="0" w:color="auto"/>
            <w:right w:val="none" w:sz="0" w:space="0" w:color="auto"/>
          </w:divBdr>
        </w:div>
        <w:div w:id="1679654730">
          <w:marLeft w:val="0"/>
          <w:marRight w:val="0"/>
          <w:marTop w:val="0"/>
          <w:marBottom w:val="0"/>
          <w:divBdr>
            <w:top w:val="none" w:sz="0" w:space="0" w:color="auto"/>
            <w:left w:val="none" w:sz="0" w:space="0" w:color="auto"/>
            <w:bottom w:val="none" w:sz="0" w:space="0" w:color="auto"/>
            <w:right w:val="none" w:sz="0" w:space="0" w:color="auto"/>
          </w:divBdr>
        </w:div>
        <w:div w:id="1685477959">
          <w:marLeft w:val="0"/>
          <w:marRight w:val="0"/>
          <w:marTop w:val="0"/>
          <w:marBottom w:val="0"/>
          <w:divBdr>
            <w:top w:val="none" w:sz="0" w:space="0" w:color="auto"/>
            <w:left w:val="none" w:sz="0" w:space="0" w:color="auto"/>
            <w:bottom w:val="none" w:sz="0" w:space="0" w:color="auto"/>
            <w:right w:val="none" w:sz="0" w:space="0" w:color="auto"/>
          </w:divBdr>
        </w:div>
        <w:div w:id="1697194693">
          <w:marLeft w:val="0"/>
          <w:marRight w:val="0"/>
          <w:marTop w:val="0"/>
          <w:marBottom w:val="0"/>
          <w:divBdr>
            <w:top w:val="none" w:sz="0" w:space="0" w:color="auto"/>
            <w:left w:val="none" w:sz="0" w:space="0" w:color="auto"/>
            <w:bottom w:val="none" w:sz="0" w:space="0" w:color="auto"/>
            <w:right w:val="none" w:sz="0" w:space="0" w:color="auto"/>
          </w:divBdr>
        </w:div>
        <w:div w:id="1718161901">
          <w:marLeft w:val="0"/>
          <w:marRight w:val="0"/>
          <w:marTop w:val="0"/>
          <w:marBottom w:val="0"/>
          <w:divBdr>
            <w:top w:val="none" w:sz="0" w:space="0" w:color="auto"/>
            <w:left w:val="none" w:sz="0" w:space="0" w:color="auto"/>
            <w:bottom w:val="none" w:sz="0" w:space="0" w:color="auto"/>
            <w:right w:val="none" w:sz="0" w:space="0" w:color="auto"/>
          </w:divBdr>
        </w:div>
        <w:div w:id="1719623921">
          <w:marLeft w:val="0"/>
          <w:marRight w:val="0"/>
          <w:marTop w:val="0"/>
          <w:marBottom w:val="0"/>
          <w:divBdr>
            <w:top w:val="none" w:sz="0" w:space="0" w:color="auto"/>
            <w:left w:val="none" w:sz="0" w:space="0" w:color="auto"/>
            <w:bottom w:val="none" w:sz="0" w:space="0" w:color="auto"/>
            <w:right w:val="none" w:sz="0" w:space="0" w:color="auto"/>
          </w:divBdr>
        </w:div>
        <w:div w:id="1753619210">
          <w:marLeft w:val="0"/>
          <w:marRight w:val="0"/>
          <w:marTop w:val="0"/>
          <w:marBottom w:val="0"/>
          <w:divBdr>
            <w:top w:val="none" w:sz="0" w:space="0" w:color="auto"/>
            <w:left w:val="none" w:sz="0" w:space="0" w:color="auto"/>
            <w:bottom w:val="none" w:sz="0" w:space="0" w:color="auto"/>
            <w:right w:val="none" w:sz="0" w:space="0" w:color="auto"/>
          </w:divBdr>
        </w:div>
        <w:div w:id="1799293760">
          <w:marLeft w:val="0"/>
          <w:marRight w:val="0"/>
          <w:marTop w:val="0"/>
          <w:marBottom w:val="0"/>
          <w:divBdr>
            <w:top w:val="none" w:sz="0" w:space="0" w:color="auto"/>
            <w:left w:val="none" w:sz="0" w:space="0" w:color="auto"/>
            <w:bottom w:val="none" w:sz="0" w:space="0" w:color="auto"/>
            <w:right w:val="none" w:sz="0" w:space="0" w:color="auto"/>
          </w:divBdr>
        </w:div>
        <w:div w:id="1821850238">
          <w:marLeft w:val="0"/>
          <w:marRight w:val="0"/>
          <w:marTop w:val="0"/>
          <w:marBottom w:val="0"/>
          <w:divBdr>
            <w:top w:val="none" w:sz="0" w:space="0" w:color="auto"/>
            <w:left w:val="none" w:sz="0" w:space="0" w:color="auto"/>
            <w:bottom w:val="none" w:sz="0" w:space="0" w:color="auto"/>
            <w:right w:val="none" w:sz="0" w:space="0" w:color="auto"/>
          </w:divBdr>
        </w:div>
        <w:div w:id="1835223752">
          <w:marLeft w:val="0"/>
          <w:marRight w:val="0"/>
          <w:marTop w:val="0"/>
          <w:marBottom w:val="0"/>
          <w:divBdr>
            <w:top w:val="none" w:sz="0" w:space="0" w:color="auto"/>
            <w:left w:val="none" w:sz="0" w:space="0" w:color="auto"/>
            <w:bottom w:val="none" w:sz="0" w:space="0" w:color="auto"/>
            <w:right w:val="none" w:sz="0" w:space="0" w:color="auto"/>
          </w:divBdr>
        </w:div>
        <w:div w:id="1840844480">
          <w:marLeft w:val="0"/>
          <w:marRight w:val="0"/>
          <w:marTop w:val="0"/>
          <w:marBottom w:val="0"/>
          <w:divBdr>
            <w:top w:val="none" w:sz="0" w:space="0" w:color="auto"/>
            <w:left w:val="none" w:sz="0" w:space="0" w:color="auto"/>
            <w:bottom w:val="none" w:sz="0" w:space="0" w:color="auto"/>
            <w:right w:val="none" w:sz="0" w:space="0" w:color="auto"/>
          </w:divBdr>
        </w:div>
        <w:div w:id="1859733466">
          <w:marLeft w:val="0"/>
          <w:marRight w:val="0"/>
          <w:marTop w:val="0"/>
          <w:marBottom w:val="0"/>
          <w:divBdr>
            <w:top w:val="none" w:sz="0" w:space="0" w:color="auto"/>
            <w:left w:val="none" w:sz="0" w:space="0" w:color="auto"/>
            <w:bottom w:val="none" w:sz="0" w:space="0" w:color="auto"/>
            <w:right w:val="none" w:sz="0" w:space="0" w:color="auto"/>
          </w:divBdr>
        </w:div>
        <w:div w:id="1871647583">
          <w:marLeft w:val="0"/>
          <w:marRight w:val="0"/>
          <w:marTop w:val="0"/>
          <w:marBottom w:val="0"/>
          <w:divBdr>
            <w:top w:val="none" w:sz="0" w:space="0" w:color="auto"/>
            <w:left w:val="none" w:sz="0" w:space="0" w:color="auto"/>
            <w:bottom w:val="none" w:sz="0" w:space="0" w:color="auto"/>
            <w:right w:val="none" w:sz="0" w:space="0" w:color="auto"/>
          </w:divBdr>
        </w:div>
        <w:div w:id="1902250235">
          <w:marLeft w:val="0"/>
          <w:marRight w:val="0"/>
          <w:marTop w:val="0"/>
          <w:marBottom w:val="0"/>
          <w:divBdr>
            <w:top w:val="none" w:sz="0" w:space="0" w:color="auto"/>
            <w:left w:val="none" w:sz="0" w:space="0" w:color="auto"/>
            <w:bottom w:val="none" w:sz="0" w:space="0" w:color="auto"/>
            <w:right w:val="none" w:sz="0" w:space="0" w:color="auto"/>
          </w:divBdr>
        </w:div>
        <w:div w:id="1903714621">
          <w:marLeft w:val="0"/>
          <w:marRight w:val="0"/>
          <w:marTop w:val="0"/>
          <w:marBottom w:val="0"/>
          <w:divBdr>
            <w:top w:val="none" w:sz="0" w:space="0" w:color="auto"/>
            <w:left w:val="none" w:sz="0" w:space="0" w:color="auto"/>
            <w:bottom w:val="none" w:sz="0" w:space="0" w:color="auto"/>
            <w:right w:val="none" w:sz="0" w:space="0" w:color="auto"/>
          </w:divBdr>
        </w:div>
        <w:div w:id="1912696599">
          <w:marLeft w:val="0"/>
          <w:marRight w:val="0"/>
          <w:marTop w:val="0"/>
          <w:marBottom w:val="0"/>
          <w:divBdr>
            <w:top w:val="none" w:sz="0" w:space="0" w:color="auto"/>
            <w:left w:val="none" w:sz="0" w:space="0" w:color="auto"/>
            <w:bottom w:val="none" w:sz="0" w:space="0" w:color="auto"/>
            <w:right w:val="none" w:sz="0" w:space="0" w:color="auto"/>
          </w:divBdr>
        </w:div>
        <w:div w:id="1936396600">
          <w:marLeft w:val="0"/>
          <w:marRight w:val="0"/>
          <w:marTop w:val="0"/>
          <w:marBottom w:val="0"/>
          <w:divBdr>
            <w:top w:val="none" w:sz="0" w:space="0" w:color="auto"/>
            <w:left w:val="none" w:sz="0" w:space="0" w:color="auto"/>
            <w:bottom w:val="none" w:sz="0" w:space="0" w:color="auto"/>
            <w:right w:val="none" w:sz="0" w:space="0" w:color="auto"/>
          </w:divBdr>
        </w:div>
        <w:div w:id="1942906582">
          <w:marLeft w:val="0"/>
          <w:marRight w:val="0"/>
          <w:marTop w:val="0"/>
          <w:marBottom w:val="0"/>
          <w:divBdr>
            <w:top w:val="none" w:sz="0" w:space="0" w:color="auto"/>
            <w:left w:val="none" w:sz="0" w:space="0" w:color="auto"/>
            <w:bottom w:val="none" w:sz="0" w:space="0" w:color="auto"/>
            <w:right w:val="none" w:sz="0" w:space="0" w:color="auto"/>
          </w:divBdr>
        </w:div>
        <w:div w:id="1968852174">
          <w:marLeft w:val="0"/>
          <w:marRight w:val="0"/>
          <w:marTop w:val="0"/>
          <w:marBottom w:val="0"/>
          <w:divBdr>
            <w:top w:val="none" w:sz="0" w:space="0" w:color="auto"/>
            <w:left w:val="none" w:sz="0" w:space="0" w:color="auto"/>
            <w:bottom w:val="none" w:sz="0" w:space="0" w:color="auto"/>
            <w:right w:val="none" w:sz="0" w:space="0" w:color="auto"/>
          </w:divBdr>
        </w:div>
        <w:div w:id="1968970419">
          <w:marLeft w:val="0"/>
          <w:marRight w:val="0"/>
          <w:marTop w:val="0"/>
          <w:marBottom w:val="0"/>
          <w:divBdr>
            <w:top w:val="none" w:sz="0" w:space="0" w:color="auto"/>
            <w:left w:val="none" w:sz="0" w:space="0" w:color="auto"/>
            <w:bottom w:val="none" w:sz="0" w:space="0" w:color="auto"/>
            <w:right w:val="none" w:sz="0" w:space="0" w:color="auto"/>
          </w:divBdr>
        </w:div>
        <w:div w:id="2037189351">
          <w:marLeft w:val="0"/>
          <w:marRight w:val="0"/>
          <w:marTop w:val="0"/>
          <w:marBottom w:val="0"/>
          <w:divBdr>
            <w:top w:val="none" w:sz="0" w:space="0" w:color="auto"/>
            <w:left w:val="none" w:sz="0" w:space="0" w:color="auto"/>
            <w:bottom w:val="none" w:sz="0" w:space="0" w:color="auto"/>
            <w:right w:val="none" w:sz="0" w:space="0" w:color="auto"/>
          </w:divBdr>
        </w:div>
        <w:div w:id="2080974459">
          <w:marLeft w:val="0"/>
          <w:marRight w:val="0"/>
          <w:marTop w:val="0"/>
          <w:marBottom w:val="0"/>
          <w:divBdr>
            <w:top w:val="none" w:sz="0" w:space="0" w:color="auto"/>
            <w:left w:val="none" w:sz="0" w:space="0" w:color="auto"/>
            <w:bottom w:val="none" w:sz="0" w:space="0" w:color="auto"/>
            <w:right w:val="none" w:sz="0" w:space="0" w:color="auto"/>
          </w:divBdr>
        </w:div>
        <w:div w:id="2083092084">
          <w:marLeft w:val="0"/>
          <w:marRight w:val="0"/>
          <w:marTop w:val="0"/>
          <w:marBottom w:val="0"/>
          <w:divBdr>
            <w:top w:val="none" w:sz="0" w:space="0" w:color="auto"/>
            <w:left w:val="none" w:sz="0" w:space="0" w:color="auto"/>
            <w:bottom w:val="none" w:sz="0" w:space="0" w:color="auto"/>
            <w:right w:val="none" w:sz="0" w:space="0" w:color="auto"/>
          </w:divBdr>
        </w:div>
        <w:div w:id="2087144693">
          <w:marLeft w:val="0"/>
          <w:marRight w:val="0"/>
          <w:marTop w:val="0"/>
          <w:marBottom w:val="0"/>
          <w:divBdr>
            <w:top w:val="none" w:sz="0" w:space="0" w:color="auto"/>
            <w:left w:val="none" w:sz="0" w:space="0" w:color="auto"/>
            <w:bottom w:val="none" w:sz="0" w:space="0" w:color="auto"/>
            <w:right w:val="none" w:sz="0" w:space="0" w:color="auto"/>
          </w:divBdr>
        </w:div>
        <w:div w:id="2098476685">
          <w:marLeft w:val="0"/>
          <w:marRight w:val="0"/>
          <w:marTop w:val="0"/>
          <w:marBottom w:val="0"/>
          <w:divBdr>
            <w:top w:val="none" w:sz="0" w:space="0" w:color="auto"/>
            <w:left w:val="none" w:sz="0" w:space="0" w:color="auto"/>
            <w:bottom w:val="none" w:sz="0" w:space="0" w:color="auto"/>
            <w:right w:val="none" w:sz="0" w:space="0" w:color="auto"/>
          </w:divBdr>
        </w:div>
        <w:div w:id="2101367051">
          <w:marLeft w:val="0"/>
          <w:marRight w:val="0"/>
          <w:marTop w:val="0"/>
          <w:marBottom w:val="0"/>
          <w:divBdr>
            <w:top w:val="none" w:sz="0" w:space="0" w:color="auto"/>
            <w:left w:val="none" w:sz="0" w:space="0" w:color="auto"/>
            <w:bottom w:val="none" w:sz="0" w:space="0" w:color="auto"/>
            <w:right w:val="none" w:sz="0" w:space="0" w:color="auto"/>
          </w:divBdr>
        </w:div>
        <w:div w:id="2117674253">
          <w:marLeft w:val="0"/>
          <w:marRight w:val="0"/>
          <w:marTop w:val="0"/>
          <w:marBottom w:val="0"/>
          <w:divBdr>
            <w:top w:val="none" w:sz="0" w:space="0" w:color="auto"/>
            <w:left w:val="none" w:sz="0" w:space="0" w:color="auto"/>
            <w:bottom w:val="none" w:sz="0" w:space="0" w:color="auto"/>
            <w:right w:val="none" w:sz="0" w:space="0" w:color="auto"/>
          </w:divBdr>
        </w:div>
        <w:div w:id="2139881653">
          <w:marLeft w:val="0"/>
          <w:marRight w:val="0"/>
          <w:marTop w:val="0"/>
          <w:marBottom w:val="0"/>
          <w:divBdr>
            <w:top w:val="none" w:sz="0" w:space="0" w:color="auto"/>
            <w:left w:val="none" w:sz="0" w:space="0" w:color="auto"/>
            <w:bottom w:val="none" w:sz="0" w:space="0" w:color="auto"/>
            <w:right w:val="none" w:sz="0" w:space="0" w:color="auto"/>
          </w:divBdr>
        </w:div>
        <w:div w:id="2146191638">
          <w:marLeft w:val="0"/>
          <w:marRight w:val="0"/>
          <w:marTop w:val="0"/>
          <w:marBottom w:val="0"/>
          <w:divBdr>
            <w:top w:val="none" w:sz="0" w:space="0" w:color="auto"/>
            <w:left w:val="none" w:sz="0" w:space="0" w:color="auto"/>
            <w:bottom w:val="none" w:sz="0" w:space="0" w:color="auto"/>
            <w:right w:val="none" w:sz="0" w:space="0" w:color="auto"/>
          </w:divBdr>
        </w:div>
      </w:divsChild>
    </w:div>
    <w:div w:id="1815372825">
      <w:bodyDiv w:val="1"/>
      <w:marLeft w:val="0"/>
      <w:marRight w:val="0"/>
      <w:marTop w:val="0"/>
      <w:marBottom w:val="0"/>
      <w:divBdr>
        <w:top w:val="none" w:sz="0" w:space="0" w:color="auto"/>
        <w:left w:val="none" w:sz="0" w:space="0" w:color="auto"/>
        <w:bottom w:val="none" w:sz="0" w:space="0" w:color="auto"/>
        <w:right w:val="none" w:sz="0" w:space="0" w:color="auto"/>
      </w:divBdr>
    </w:div>
    <w:div w:id="1837762913">
      <w:bodyDiv w:val="1"/>
      <w:marLeft w:val="0"/>
      <w:marRight w:val="0"/>
      <w:marTop w:val="0"/>
      <w:marBottom w:val="0"/>
      <w:divBdr>
        <w:top w:val="none" w:sz="0" w:space="0" w:color="auto"/>
        <w:left w:val="none" w:sz="0" w:space="0" w:color="auto"/>
        <w:bottom w:val="none" w:sz="0" w:space="0" w:color="auto"/>
        <w:right w:val="none" w:sz="0" w:space="0" w:color="auto"/>
      </w:divBdr>
    </w:div>
    <w:div w:id="1849708527">
      <w:bodyDiv w:val="1"/>
      <w:marLeft w:val="0"/>
      <w:marRight w:val="0"/>
      <w:marTop w:val="0"/>
      <w:marBottom w:val="0"/>
      <w:divBdr>
        <w:top w:val="none" w:sz="0" w:space="0" w:color="auto"/>
        <w:left w:val="none" w:sz="0" w:space="0" w:color="auto"/>
        <w:bottom w:val="none" w:sz="0" w:space="0" w:color="auto"/>
        <w:right w:val="none" w:sz="0" w:space="0" w:color="auto"/>
      </w:divBdr>
      <w:divsChild>
        <w:div w:id="49883702">
          <w:marLeft w:val="0"/>
          <w:marRight w:val="0"/>
          <w:marTop w:val="0"/>
          <w:marBottom w:val="0"/>
          <w:divBdr>
            <w:top w:val="none" w:sz="0" w:space="0" w:color="auto"/>
            <w:left w:val="none" w:sz="0" w:space="0" w:color="auto"/>
            <w:bottom w:val="none" w:sz="0" w:space="0" w:color="auto"/>
            <w:right w:val="none" w:sz="0" w:space="0" w:color="auto"/>
          </w:divBdr>
        </w:div>
        <w:div w:id="424959022">
          <w:marLeft w:val="0"/>
          <w:marRight w:val="0"/>
          <w:marTop w:val="0"/>
          <w:marBottom w:val="0"/>
          <w:divBdr>
            <w:top w:val="none" w:sz="0" w:space="0" w:color="auto"/>
            <w:left w:val="none" w:sz="0" w:space="0" w:color="auto"/>
            <w:bottom w:val="none" w:sz="0" w:space="0" w:color="auto"/>
            <w:right w:val="none" w:sz="0" w:space="0" w:color="auto"/>
          </w:divBdr>
        </w:div>
        <w:div w:id="494300611">
          <w:marLeft w:val="0"/>
          <w:marRight w:val="0"/>
          <w:marTop w:val="0"/>
          <w:marBottom w:val="0"/>
          <w:divBdr>
            <w:top w:val="none" w:sz="0" w:space="0" w:color="auto"/>
            <w:left w:val="none" w:sz="0" w:space="0" w:color="auto"/>
            <w:bottom w:val="none" w:sz="0" w:space="0" w:color="auto"/>
            <w:right w:val="none" w:sz="0" w:space="0" w:color="auto"/>
          </w:divBdr>
        </w:div>
        <w:div w:id="576135359">
          <w:marLeft w:val="0"/>
          <w:marRight w:val="0"/>
          <w:marTop w:val="0"/>
          <w:marBottom w:val="0"/>
          <w:divBdr>
            <w:top w:val="none" w:sz="0" w:space="0" w:color="auto"/>
            <w:left w:val="none" w:sz="0" w:space="0" w:color="auto"/>
            <w:bottom w:val="none" w:sz="0" w:space="0" w:color="auto"/>
            <w:right w:val="none" w:sz="0" w:space="0" w:color="auto"/>
          </w:divBdr>
        </w:div>
        <w:div w:id="1058818896">
          <w:marLeft w:val="0"/>
          <w:marRight w:val="0"/>
          <w:marTop w:val="0"/>
          <w:marBottom w:val="0"/>
          <w:divBdr>
            <w:top w:val="none" w:sz="0" w:space="0" w:color="auto"/>
            <w:left w:val="none" w:sz="0" w:space="0" w:color="auto"/>
            <w:bottom w:val="none" w:sz="0" w:space="0" w:color="auto"/>
            <w:right w:val="none" w:sz="0" w:space="0" w:color="auto"/>
          </w:divBdr>
        </w:div>
        <w:div w:id="1286307258">
          <w:marLeft w:val="0"/>
          <w:marRight w:val="0"/>
          <w:marTop w:val="0"/>
          <w:marBottom w:val="0"/>
          <w:divBdr>
            <w:top w:val="none" w:sz="0" w:space="0" w:color="auto"/>
            <w:left w:val="none" w:sz="0" w:space="0" w:color="auto"/>
            <w:bottom w:val="none" w:sz="0" w:space="0" w:color="auto"/>
            <w:right w:val="none" w:sz="0" w:space="0" w:color="auto"/>
          </w:divBdr>
        </w:div>
        <w:div w:id="1594893458">
          <w:marLeft w:val="0"/>
          <w:marRight w:val="0"/>
          <w:marTop w:val="0"/>
          <w:marBottom w:val="0"/>
          <w:divBdr>
            <w:top w:val="none" w:sz="0" w:space="0" w:color="auto"/>
            <w:left w:val="none" w:sz="0" w:space="0" w:color="auto"/>
            <w:bottom w:val="none" w:sz="0" w:space="0" w:color="auto"/>
            <w:right w:val="none" w:sz="0" w:space="0" w:color="auto"/>
          </w:divBdr>
        </w:div>
        <w:div w:id="1749645597">
          <w:marLeft w:val="0"/>
          <w:marRight w:val="0"/>
          <w:marTop w:val="0"/>
          <w:marBottom w:val="0"/>
          <w:divBdr>
            <w:top w:val="none" w:sz="0" w:space="0" w:color="auto"/>
            <w:left w:val="none" w:sz="0" w:space="0" w:color="auto"/>
            <w:bottom w:val="none" w:sz="0" w:space="0" w:color="auto"/>
            <w:right w:val="none" w:sz="0" w:space="0" w:color="auto"/>
          </w:divBdr>
        </w:div>
        <w:div w:id="1750930529">
          <w:marLeft w:val="0"/>
          <w:marRight w:val="0"/>
          <w:marTop w:val="0"/>
          <w:marBottom w:val="0"/>
          <w:divBdr>
            <w:top w:val="none" w:sz="0" w:space="0" w:color="auto"/>
            <w:left w:val="none" w:sz="0" w:space="0" w:color="auto"/>
            <w:bottom w:val="none" w:sz="0" w:space="0" w:color="auto"/>
            <w:right w:val="none" w:sz="0" w:space="0" w:color="auto"/>
          </w:divBdr>
        </w:div>
        <w:div w:id="1762140125">
          <w:marLeft w:val="0"/>
          <w:marRight w:val="0"/>
          <w:marTop w:val="0"/>
          <w:marBottom w:val="0"/>
          <w:divBdr>
            <w:top w:val="none" w:sz="0" w:space="0" w:color="auto"/>
            <w:left w:val="none" w:sz="0" w:space="0" w:color="auto"/>
            <w:bottom w:val="none" w:sz="0" w:space="0" w:color="auto"/>
            <w:right w:val="none" w:sz="0" w:space="0" w:color="auto"/>
          </w:divBdr>
        </w:div>
        <w:div w:id="1785614879">
          <w:marLeft w:val="0"/>
          <w:marRight w:val="0"/>
          <w:marTop w:val="0"/>
          <w:marBottom w:val="0"/>
          <w:divBdr>
            <w:top w:val="none" w:sz="0" w:space="0" w:color="auto"/>
            <w:left w:val="none" w:sz="0" w:space="0" w:color="auto"/>
            <w:bottom w:val="none" w:sz="0" w:space="0" w:color="auto"/>
            <w:right w:val="none" w:sz="0" w:space="0" w:color="auto"/>
          </w:divBdr>
        </w:div>
        <w:div w:id="1821652455">
          <w:marLeft w:val="0"/>
          <w:marRight w:val="0"/>
          <w:marTop w:val="0"/>
          <w:marBottom w:val="0"/>
          <w:divBdr>
            <w:top w:val="none" w:sz="0" w:space="0" w:color="auto"/>
            <w:left w:val="none" w:sz="0" w:space="0" w:color="auto"/>
            <w:bottom w:val="none" w:sz="0" w:space="0" w:color="auto"/>
            <w:right w:val="none" w:sz="0" w:space="0" w:color="auto"/>
          </w:divBdr>
        </w:div>
        <w:div w:id="1866092397">
          <w:marLeft w:val="0"/>
          <w:marRight w:val="0"/>
          <w:marTop w:val="0"/>
          <w:marBottom w:val="0"/>
          <w:divBdr>
            <w:top w:val="none" w:sz="0" w:space="0" w:color="auto"/>
            <w:left w:val="none" w:sz="0" w:space="0" w:color="auto"/>
            <w:bottom w:val="none" w:sz="0" w:space="0" w:color="auto"/>
            <w:right w:val="none" w:sz="0" w:space="0" w:color="auto"/>
          </w:divBdr>
        </w:div>
        <w:div w:id="1956280432">
          <w:marLeft w:val="0"/>
          <w:marRight w:val="0"/>
          <w:marTop w:val="0"/>
          <w:marBottom w:val="0"/>
          <w:divBdr>
            <w:top w:val="none" w:sz="0" w:space="0" w:color="auto"/>
            <w:left w:val="none" w:sz="0" w:space="0" w:color="auto"/>
            <w:bottom w:val="none" w:sz="0" w:space="0" w:color="auto"/>
            <w:right w:val="none" w:sz="0" w:space="0" w:color="auto"/>
          </w:divBdr>
        </w:div>
      </w:divsChild>
    </w:div>
    <w:div w:id="1850946056">
      <w:bodyDiv w:val="1"/>
      <w:marLeft w:val="0"/>
      <w:marRight w:val="0"/>
      <w:marTop w:val="0"/>
      <w:marBottom w:val="0"/>
      <w:divBdr>
        <w:top w:val="none" w:sz="0" w:space="0" w:color="auto"/>
        <w:left w:val="none" w:sz="0" w:space="0" w:color="auto"/>
        <w:bottom w:val="none" w:sz="0" w:space="0" w:color="auto"/>
        <w:right w:val="none" w:sz="0" w:space="0" w:color="auto"/>
      </w:divBdr>
    </w:div>
    <w:div w:id="1905871050">
      <w:bodyDiv w:val="1"/>
      <w:marLeft w:val="0"/>
      <w:marRight w:val="0"/>
      <w:marTop w:val="0"/>
      <w:marBottom w:val="0"/>
      <w:divBdr>
        <w:top w:val="none" w:sz="0" w:space="0" w:color="auto"/>
        <w:left w:val="none" w:sz="0" w:space="0" w:color="auto"/>
        <w:bottom w:val="none" w:sz="0" w:space="0" w:color="auto"/>
        <w:right w:val="none" w:sz="0" w:space="0" w:color="auto"/>
      </w:divBdr>
    </w:div>
    <w:div w:id="1928924571">
      <w:bodyDiv w:val="1"/>
      <w:marLeft w:val="0"/>
      <w:marRight w:val="0"/>
      <w:marTop w:val="0"/>
      <w:marBottom w:val="0"/>
      <w:divBdr>
        <w:top w:val="none" w:sz="0" w:space="0" w:color="auto"/>
        <w:left w:val="none" w:sz="0" w:space="0" w:color="auto"/>
        <w:bottom w:val="none" w:sz="0" w:space="0" w:color="auto"/>
        <w:right w:val="none" w:sz="0" w:space="0" w:color="auto"/>
      </w:divBdr>
    </w:div>
    <w:div w:id="1934584393">
      <w:bodyDiv w:val="1"/>
      <w:marLeft w:val="0"/>
      <w:marRight w:val="0"/>
      <w:marTop w:val="0"/>
      <w:marBottom w:val="0"/>
      <w:divBdr>
        <w:top w:val="none" w:sz="0" w:space="0" w:color="auto"/>
        <w:left w:val="none" w:sz="0" w:space="0" w:color="auto"/>
        <w:bottom w:val="none" w:sz="0" w:space="0" w:color="auto"/>
        <w:right w:val="none" w:sz="0" w:space="0" w:color="auto"/>
      </w:divBdr>
    </w:div>
    <w:div w:id="1950816323">
      <w:bodyDiv w:val="1"/>
      <w:marLeft w:val="0"/>
      <w:marRight w:val="0"/>
      <w:marTop w:val="0"/>
      <w:marBottom w:val="0"/>
      <w:divBdr>
        <w:top w:val="none" w:sz="0" w:space="0" w:color="auto"/>
        <w:left w:val="none" w:sz="0" w:space="0" w:color="auto"/>
        <w:bottom w:val="none" w:sz="0" w:space="0" w:color="auto"/>
        <w:right w:val="none" w:sz="0" w:space="0" w:color="auto"/>
      </w:divBdr>
    </w:div>
    <w:div w:id="1952587088">
      <w:bodyDiv w:val="1"/>
      <w:marLeft w:val="0"/>
      <w:marRight w:val="0"/>
      <w:marTop w:val="0"/>
      <w:marBottom w:val="0"/>
      <w:divBdr>
        <w:top w:val="none" w:sz="0" w:space="0" w:color="auto"/>
        <w:left w:val="none" w:sz="0" w:space="0" w:color="auto"/>
        <w:bottom w:val="none" w:sz="0" w:space="0" w:color="auto"/>
        <w:right w:val="none" w:sz="0" w:space="0" w:color="auto"/>
      </w:divBdr>
    </w:div>
    <w:div w:id="1957909819">
      <w:bodyDiv w:val="1"/>
      <w:marLeft w:val="0"/>
      <w:marRight w:val="0"/>
      <w:marTop w:val="0"/>
      <w:marBottom w:val="0"/>
      <w:divBdr>
        <w:top w:val="none" w:sz="0" w:space="0" w:color="auto"/>
        <w:left w:val="none" w:sz="0" w:space="0" w:color="auto"/>
        <w:bottom w:val="none" w:sz="0" w:space="0" w:color="auto"/>
        <w:right w:val="none" w:sz="0" w:space="0" w:color="auto"/>
      </w:divBdr>
    </w:div>
    <w:div w:id="1960184946">
      <w:bodyDiv w:val="1"/>
      <w:marLeft w:val="0"/>
      <w:marRight w:val="0"/>
      <w:marTop w:val="0"/>
      <w:marBottom w:val="0"/>
      <w:divBdr>
        <w:top w:val="none" w:sz="0" w:space="0" w:color="auto"/>
        <w:left w:val="none" w:sz="0" w:space="0" w:color="auto"/>
        <w:bottom w:val="none" w:sz="0" w:space="0" w:color="auto"/>
        <w:right w:val="none" w:sz="0" w:space="0" w:color="auto"/>
      </w:divBdr>
    </w:div>
    <w:div w:id="1971667637">
      <w:bodyDiv w:val="1"/>
      <w:marLeft w:val="0"/>
      <w:marRight w:val="0"/>
      <w:marTop w:val="0"/>
      <w:marBottom w:val="0"/>
      <w:divBdr>
        <w:top w:val="none" w:sz="0" w:space="0" w:color="auto"/>
        <w:left w:val="none" w:sz="0" w:space="0" w:color="auto"/>
        <w:bottom w:val="none" w:sz="0" w:space="0" w:color="auto"/>
        <w:right w:val="none" w:sz="0" w:space="0" w:color="auto"/>
      </w:divBdr>
      <w:divsChild>
        <w:div w:id="227882686">
          <w:marLeft w:val="0"/>
          <w:marRight w:val="0"/>
          <w:marTop w:val="0"/>
          <w:marBottom w:val="0"/>
          <w:divBdr>
            <w:top w:val="none" w:sz="0" w:space="0" w:color="auto"/>
            <w:left w:val="none" w:sz="0" w:space="0" w:color="auto"/>
            <w:bottom w:val="none" w:sz="0" w:space="0" w:color="auto"/>
            <w:right w:val="none" w:sz="0" w:space="0" w:color="auto"/>
          </w:divBdr>
        </w:div>
        <w:div w:id="241840726">
          <w:marLeft w:val="0"/>
          <w:marRight w:val="0"/>
          <w:marTop w:val="0"/>
          <w:marBottom w:val="0"/>
          <w:divBdr>
            <w:top w:val="none" w:sz="0" w:space="0" w:color="auto"/>
            <w:left w:val="none" w:sz="0" w:space="0" w:color="auto"/>
            <w:bottom w:val="none" w:sz="0" w:space="0" w:color="auto"/>
            <w:right w:val="none" w:sz="0" w:space="0" w:color="auto"/>
          </w:divBdr>
        </w:div>
        <w:div w:id="265238148">
          <w:marLeft w:val="0"/>
          <w:marRight w:val="0"/>
          <w:marTop w:val="0"/>
          <w:marBottom w:val="0"/>
          <w:divBdr>
            <w:top w:val="none" w:sz="0" w:space="0" w:color="auto"/>
            <w:left w:val="none" w:sz="0" w:space="0" w:color="auto"/>
            <w:bottom w:val="none" w:sz="0" w:space="0" w:color="auto"/>
            <w:right w:val="none" w:sz="0" w:space="0" w:color="auto"/>
          </w:divBdr>
        </w:div>
        <w:div w:id="278493533">
          <w:marLeft w:val="0"/>
          <w:marRight w:val="0"/>
          <w:marTop w:val="0"/>
          <w:marBottom w:val="0"/>
          <w:divBdr>
            <w:top w:val="none" w:sz="0" w:space="0" w:color="auto"/>
            <w:left w:val="none" w:sz="0" w:space="0" w:color="auto"/>
            <w:bottom w:val="none" w:sz="0" w:space="0" w:color="auto"/>
            <w:right w:val="none" w:sz="0" w:space="0" w:color="auto"/>
          </w:divBdr>
        </w:div>
        <w:div w:id="751396785">
          <w:marLeft w:val="0"/>
          <w:marRight w:val="0"/>
          <w:marTop w:val="0"/>
          <w:marBottom w:val="0"/>
          <w:divBdr>
            <w:top w:val="none" w:sz="0" w:space="0" w:color="auto"/>
            <w:left w:val="none" w:sz="0" w:space="0" w:color="auto"/>
            <w:bottom w:val="none" w:sz="0" w:space="0" w:color="auto"/>
            <w:right w:val="none" w:sz="0" w:space="0" w:color="auto"/>
          </w:divBdr>
        </w:div>
        <w:div w:id="1036849810">
          <w:marLeft w:val="0"/>
          <w:marRight w:val="0"/>
          <w:marTop w:val="0"/>
          <w:marBottom w:val="0"/>
          <w:divBdr>
            <w:top w:val="none" w:sz="0" w:space="0" w:color="auto"/>
            <w:left w:val="none" w:sz="0" w:space="0" w:color="auto"/>
            <w:bottom w:val="none" w:sz="0" w:space="0" w:color="auto"/>
            <w:right w:val="none" w:sz="0" w:space="0" w:color="auto"/>
          </w:divBdr>
        </w:div>
        <w:div w:id="2126071653">
          <w:marLeft w:val="0"/>
          <w:marRight w:val="0"/>
          <w:marTop w:val="0"/>
          <w:marBottom w:val="0"/>
          <w:divBdr>
            <w:top w:val="none" w:sz="0" w:space="0" w:color="auto"/>
            <w:left w:val="none" w:sz="0" w:space="0" w:color="auto"/>
            <w:bottom w:val="none" w:sz="0" w:space="0" w:color="auto"/>
            <w:right w:val="none" w:sz="0" w:space="0" w:color="auto"/>
          </w:divBdr>
        </w:div>
      </w:divsChild>
    </w:div>
    <w:div w:id="1976906999">
      <w:bodyDiv w:val="1"/>
      <w:marLeft w:val="0"/>
      <w:marRight w:val="0"/>
      <w:marTop w:val="0"/>
      <w:marBottom w:val="0"/>
      <w:divBdr>
        <w:top w:val="none" w:sz="0" w:space="0" w:color="auto"/>
        <w:left w:val="none" w:sz="0" w:space="0" w:color="auto"/>
        <w:bottom w:val="none" w:sz="0" w:space="0" w:color="auto"/>
        <w:right w:val="none" w:sz="0" w:space="0" w:color="auto"/>
      </w:divBdr>
    </w:div>
    <w:div w:id="1980526179">
      <w:bodyDiv w:val="1"/>
      <w:marLeft w:val="0"/>
      <w:marRight w:val="0"/>
      <w:marTop w:val="0"/>
      <w:marBottom w:val="0"/>
      <w:divBdr>
        <w:top w:val="none" w:sz="0" w:space="0" w:color="auto"/>
        <w:left w:val="none" w:sz="0" w:space="0" w:color="auto"/>
        <w:bottom w:val="none" w:sz="0" w:space="0" w:color="auto"/>
        <w:right w:val="none" w:sz="0" w:space="0" w:color="auto"/>
      </w:divBdr>
    </w:div>
    <w:div w:id="2011711929">
      <w:bodyDiv w:val="1"/>
      <w:marLeft w:val="0"/>
      <w:marRight w:val="0"/>
      <w:marTop w:val="0"/>
      <w:marBottom w:val="0"/>
      <w:divBdr>
        <w:top w:val="none" w:sz="0" w:space="0" w:color="auto"/>
        <w:left w:val="none" w:sz="0" w:space="0" w:color="auto"/>
        <w:bottom w:val="none" w:sz="0" w:space="0" w:color="auto"/>
        <w:right w:val="none" w:sz="0" w:space="0" w:color="auto"/>
      </w:divBdr>
    </w:div>
    <w:div w:id="2021423056">
      <w:bodyDiv w:val="1"/>
      <w:marLeft w:val="0"/>
      <w:marRight w:val="0"/>
      <w:marTop w:val="0"/>
      <w:marBottom w:val="0"/>
      <w:divBdr>
        <w:top w:val="none" w:sz="0" w:space="0" w:color="auto"/>
        <w:left w:val="none" w:sz="0" w:space="0" w:color="auto"/>
        <w:bottom w:val="none" w:sz="0" w:space="0" w:color="auto"/>
        <w:right w:val="none" w:sz="0" w:space="0" w:color="auto"/>
      </w:divBdr>
    </w:div>
    <w:div w:id="2026707316">
      <w:bodyDiv w:val="1"/>
      <w:marLeft w:val="0"/>
      <w:marRight w:val="0"/>
      <w:marTop w:val="0"/>
      <w:marBottom w:val="0"/>
      <w:divBdr>
        <w:top w:val="none" w:sz="0" w:space="0" w:color="auto"/>
        <w:left w:val="none" w:sz="0" w:space="0" w:color="auto"/>
        <w:bottom w:val="none" w:sz="0" w:space="0" w:color="auto"/>
        <w:right w:val="none" w:sz="0" w:space="0" w:color="auto"/>
      </w:divBdr>
    </w:div>
    <w:div w:id="2037656880">
      <w:bodyDiv w:val="1"/>
      <w:marLeft w:val="0"/>
      <w:marRight w:val="0"/>
      <w:marTop w:val="0"/>
      <w:marBottom w:val="0"/>
      <w:divBdr>
        <w:top w:val="none" w:sz="0" w:space="0" w:color="auto"/>
        <w:left w:val="none" w:sz="0" w:space="0" w:color="auto"/>
        <w:bottom w:val="none" w:sz="0" w:space="0" w:color="auto"/>
        <w:right w:val="none" w:sz="0" w:space="0" w:color="auto"/>
      </w:divBdr>
    </w:div>
    <w:div w:id="2039546235">
      <w:bodyDiv w:val="1"/>
      <w:marLeft w:val="0"/>
      <w:marRight w:val="0"/>
      <w:marTop w:val="0"/>
      <w:marBottom w:val="0"/>
      <w:divBdr>
        <w:top w:val="none" w:sz="0" w:space="0" w:color="auto"/>
        <w:left w:val="none" w:sz="0" w:space="0" w:color="auto"/>
        <w:bottom w:val="none" w:sz="0" w:space="0" w:color="auto"/>
        <w:right w:val="none" w:sz="0" w:space="0" w:color="auto"/>
      </w:divBdr>
    </w:div>
    <w:div w:id="2057852693">
      <w:bodyDiv w:val="1"/>
      <w:marLeft w:val="0"/>
      <w:marRight w:val="0"/>
      <w:marTop w:val="0"/>
      <w:marBottom w:val="0"/>
      <w:divBdr>
        <w:top w:val="none" w:sz="0" w:space="0" w:color="auto"/>
        <w:left w:val="none" w:sz="0" w:space="0" w:color="auto"/>
        <w:bottom w:val="none" w:sz="0" w:space="0" w:color="auto"/>
        <w:right w:val="none" w:sz="0" w:space="0" w:color="auto"/>
      </w:divBdr>
    </w:div>
    <w:div w:id="2058772701">
      <w:bodyDiv w:val="1"/>
      <w:marLeft w:val="0"/>
      <w:marRight w:val="0"/>
      <w:marTop w:val="0"/>
      <w:marBottom w:val="0"/>
      <w:divBdr>
        <w:top w:val="none" w:sz="0" w:space="0" w:color="auto"/>
        <w:left w:val="none" w:sz="0" w:space="0" w:color="auto"/>
        <w:bottom w:val="none" w:sz="0" w:space="0" w:color="auto"/>
        <w:right w:val="none" w:sz="0" w:space="0" w:color="auto"/>
      </w:divBdr>
    </w:div>
    <w:div w:id="2064332527">
      <w:bodyDiv w:val="1"/>
      <w:marLeft w:val="0"/>
      <w:marRight w:val="0"/>
      <w:marTop w:val="0"/>
      <w:marBottom w:val="0"/>
      <w:divBdr>
        <w:top w:val="none" w:sz="0" w:space="0" w:color="auto"/>
        <w:left w:val="none" w:sz="0" w:space="0" w:color="auto"/>
        <w:bottom w:val="none" w:sz="0" w:space="0" w:color="auto"/>
        <w:right w:val="none" w:sz="0" w:space="0" w:color="auto"/>
      </w:divBdr>
    </w:div>
    <w:div w:id="2074347069">
      <w:bodyDiv w:val="1"/>
      <w:marLeft w:val="0"/>
      <w:marRight w:val="0"/>
      <w:marTop w:val="0"/>
      <w:marBottom w:val="0"/>
      <w:divBdr>
        <w:top w:val="none" w:sz="0" w:space="0" w:color="auto"/>
        <w:left w:val="none" w:sz="0" w:space="0" w:color="auto"/>
        <w:bottom w:val="none" w:sz="0" w:space="0" w:color="auto"/>
        <w:right w:val="none" w:sz="0" w:space="0" w:color="auto"/>
      </w:divBdr>
    </w:div>
    <w:div w:id="2081437384">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
    <w:div w:id="2103798644">
      <w:bodyDiv w:val="1"/>
      <w:marLeft w:val="0"/>
      <w:marRight w:val="0"/>
      <w:marTop w:val="0"/>
      <w:marBottom w:val="0"/>
      <w:divBdr>
        <w:top w:val="none" w:sz="0" w:space="0" w:color="auto"/>
        <w:left w:val="none" w:sz="0" w:space="0" w:color="auto"/>
        <w:bottom w:val="none" w:sz="0" w:space="0" w:color="auto"/>
        <w:right w:val="none" w:sz="0" w:space="0" w:color="auto"/>
      </w:divBdr>
    </w:div>
    <w:div w:id="2105101267">
      <w:bodyDiv w:val="1"/>
      <w:marLeft w:val="0"/>
      <w:marRight w:val="0"/>
      <w:marTop w:val="0"/>
      <w:marBottom w:val="0"/>
      <w:divBdr>
        <w:top w:val="none" w:sz="0" w:space="0" w:color="auto"/>
        <w:left w:val="none" w:sz="0" w:space="0" w:color="auto"/>
        <w:bottom w:val="none" w:sz="0" w:space="0" w:color="auto"/>
        <w:right w:val="none" w:sz="0" w:space="0" w:color="auto"/>
      </w:divBdr>
    </w:div>
    <w:div w:id="2106077370">
      <w:bodyDiv w:val="1"/>
      <w:marLeft w:val="0"/>
      <w:marRight w:val="0"/>
      <w:marTop w:val="0"/>
      <w:marBottom w:val="0"/>
      <w:divBdr>
        <w:top w:val="none" w:sz="0" w:space="0" w:color="auto"/>
        <w:left w:val="none" w:sz="0" w:space="0" w:color="auto"/>
        <w:bottom w:val="none" w:sz="0" w:space="0" w:color="auto"/>
        <w:right w:val="none" w:sz="0" w:space="0" w:color="auto"/>
      </w:divBdr>
      <w:divsChild>
        <w:div w:id="18626715">
          <w:marLeft w:val="0"/>
          <w:marRight w:val="0"/>
          <w:marTop w:val="0"/>
          <w:marBottom w:val="0"/>
          <w:divBdr>
            <w:top w:val="none" w:sz="0" w:space="0" w:color="auto"/>
            <w:left w:val="none" w:sz="0" w:space="0" w:color="auto"/>
            <w:bottom w:val="none" w:sz="0" w:space="0" w:color="auto"/>
            <w:right w:val="none" w:sz="0" w:space="0" w:color="auto"/>
          </w:divBdr>
        </w:div>
        <w:div w:id="105271133">
          <w:marLeft w:val="0"/>
          <w:marRight w:val="0"/>
          <w:marTop w:val="0"/>
          <w:marBottom w:val="0"/>
          <w:divBdr>
            <w:top w:val="none" w:sz="0" w:space="0" w:color="auto"/>
            <w:left w:val="none" w:sz="0" w:space="0" w:color="auto"/>
            <w:bottom w:val="none" w:sz="0" w:space="0" w:color="auto"/>
            <w:right w:val="none" w:sz="0" w:space="0" w:color="auto"/>
          </w:divBdr>
        </w:div>
        <w:div w:id="130249732">
          <w:marLeft w:val="0"/>
          <w:marRight w:val="0"/>
          <w:marTop w:val="0"/>
          <w:marBottom w:val="0"/>
          <w:divBdr>
            <w:top w:val="none" w:sz="0" w:space="0" w:color="auto"/>
            <w:left w:val="none" w:sz="0" w:space="0" w:color="auto"/>
            <w:bottom w:val="none" w:sz="0" w:space="0" w:color="auto"/>
            <w:right w:val="none" w:sz="0" w:space="0" w:color="auto"/>
          </w:divBdr>
        </w:div>
        <w:div w:id="317077473">
          <w:marLeft w:val="0"/>
          <w:marRight w:val="0"/>
          <w:marTop w:val="0"/>
          <w:marBottom w:val="0"/>
          <w:divBdr>
            <w:top w:val="none" w:sz="0" w:space="0" w:color="auto"/>
            <w:left w:val="none" w:sz="0" w:space="0" w:color="auto"/>
            <w:bottom w:val="none" w:sz="0" w:space="0" w:color="auto"/>
            <w:right w:val="none" w:sz="0" w:space="0" w:color="auto"/>
          </w:divBdr>
        </w:div>
        <w:div w:id="584220063">
          <w:marLeft w:val="0"/>
          <w:marRight w:val="0"/>
          <w:marTop w:val="0"/>
          <w:marBottom w:val="0"/>
          <w:divBdr>
            <w:top w:val="none" w:sz="0" w:space="0" w:color="auto"/>
            <w:left w:val="none" w:sz="0" w:space="0" w:color="auto"/>
            <w:bottom w:val="none" w:sz="0" w:space="0" w:color="auto"/>
            <w:right w:val="none" w:sz="0" w:space="0" w:color="auto"/>
          </w:divBdr>
        </w:div>
        <w:div w:id="616715238">
          <w:marLeft w:val="0"/>
          <w:marRight w:val="0"/>
          <w:marTop w:val="0"/>
          <w:marBottom w:val="0"/>
          <w:divBdr>
            <w:top w:val="none" w:sz="0" w:space="0" w:color="auto"/>
            <w:left w:val="none" w:sz="0" w:space="0" w:color="auto"/>
            <w:bottom w:val="none" w:sz="0" w:space="0" w:color="auto"/>
            <w:right w:val="none" w:sz="0" w:space="0" w:color="auto"/>
          </w:divBdr>
        </w:div>
        <w:div w:id="625426528">
          <w:marLeft w:val="0"/>
          <w:marRight w:val="0"/>
          <w:marTop w:val="0"/>
          <w:marBottom w:val="0"/>
          <w:divBdr>
            <w:top w:val="none" w:sz="0" w:space="0" w:color="auto"/>
            <w:left w:val="none" w:sz="0" w:space="0" w:color="auto"/>
            <w:bottom w:val="none" w:sz="0" w:space="0" w:color="auto"/>
            <w:right w:val="none" w:sz="0" w:space="0" w:color="auto"/>
          </w:divBdr>
        </w:div>
        <w:div w:id="788202740">
          <w:marLeft w:val="0"/>
          <w:marRight w:val="0"/>
          <w:marTop w:val="0"/>
          <w:marBottom w:val="0"/>
          <w:divBdr>
            <w:top w:val="none" w:sz="0" w:space="0" w:color="auto"/>
            <w:left w:val="none" w:sz="0" w:space="0" w:color="auto"/>
            <w:bottom w:val="none" w:sz="0" w:space="0" w:color="auto"/>
            <w:right w:val="none" w:sz="0" w:space="0" w:color="auto"/>
          </w:divBdr>
        </w:div>
        <w:div w:id="807819619">
          <w:marLeft w:val="0"/>
          <w:marRight w:val="0"/>
          <w:marTop w:val="0"/>
          <w:marBottom w:val="0"/>
          <w:divBdr>
            <w:top w:val="none" w:sz="0" w:space="0" w:color="auto"/>
            <w:left w:val="none" w:sz="0" w:space="0" w:color="auto"/>
            <w:bottom w:val="none" w:sz="0" w:space="0" w:color="auto"/>
            <w:right w:val="none" w:sz="0" w:space="0" w:color="auto"/>
          </w:divBdr>
        </w:div>
        <w:div w:id="820658761">
          <w:marLeft w:val="0"/>
          <w:marRight w:val="0"/>
          <w:marTop w:val="0"/>
          <w:marBottom w:val="0"/>
          <w:divBdr>
            <w:top w:val="none" w:sz="0" w:space="0" w:color="auto"/>
            <w:left w:val="none" w:sz="0" w:space="0" w:color="auto"/>
            <w:bottom w:val="none" w:sz="0" w:space="0" w:color="auto"/>
            <w:right w:val="none" w:sz="0" w:space="0" w:color="auto"/>
          </w:divBdr>
        </w:div>
        <w:div w:id="822745804">
          <w:marLeft w:val="0"/>
          <w:marRight w:val="0"/>
          <w:marTop w:val="0"/>
          <w:marBottom w:val="0"/>
          <w:divBdr>
            <w:top w:val="none" w:sz="0" w:space="0" w:color="auto"/>
            <w:left w:val="none" w:sz="0" w:space="0" w:color="auto"/>
            <w:bottom w:val="none" w:sz="0" w:space="0" w:color="auto"/>
            <w:right w:val="none" w:sz="0" w:space="0" w:color="auto"/>
          </w:divBdr>
        </w:div>
        <w:div w:id="1010641152">
          <w:marLeft w:val="0"/>
          <w:marRight w:val="0"/>
          <w:marTop w:val="0"/>
          <w:marBottom w:val="0"/>
          <w:divBdr>
            <w:top w:val="none" w:sz="0" w:space="0" w:color="auto"/>
            <w:left w:val="none" w:sz="0" w:space="0" w:color="auto"/>
            <w:bottom w:val="none" w:sz="0" w:space="0" w:color="auto"/>
            <w:right w:val="none" w:sz="0" w:space="0" w:color="auto"/>
          </w:divBdr>
        </w:div>
        <w:div w:id="1041053573">
          <w:marLeft w:val="0"/>
          <w:marRight w:val="0"/>
          <w:marTop w:val="0"/>
          <w:marBottom w:val="0"/>
          <w:divBdr>
            <w:top w:val="none" w:sz="0" w:space="0" w:color="auto"/>
            <w:left w:val="none" w:sz="0" w:space="0" w:color="auto"/>
            <w:bottom w:val="none" w:sz="0" w:space="0" w:color="auto"/>
            <w:right w:val="none" w:sz="0" w:space="0" w:color="auto"/>
          </w:divBdr>
        </w:div>
        <w:div w:id="1061903552">
          <w:marLeft w:val="0"/>
          <w:marRight w:val="0"/>
          <w:marTop w:val="0"/>
          <w:marBottom w:val="0"/>
          <w:divBdr>
            <w:top w:val="none" w:sz="0" w:space="0" w:color="auto"/>
            <w:left w:val="none" w:sz="0" w:space="0" w:color="auto"/>
            <w:bottom w:val="none" w:sz="0" w:space="0" w:color="auto"/>
            <w:right w:val="none" w:sz="0" w:space="0" w:color="auto"/>
          </w:divBdr>
        </w:div>
        <w:div w:id="1118916994">
          <w:marLeft w:val="0"/>
          <w:marRight w:val="0"/>
          <w:marTop w:val="0"/>
          <w:marBottom w:val="0"/>
          <w:divBdr>
            <w:top w:val="none" w:sz="0" w:space="0" w:color="auto"/>
            <w:left w:val="none" w:sz="0" w:space="0" w:color="auto"/>
            <w:bottom w:val="none" w:sz="0" w:space="0" w:color="auto"/>
            <w:right w:val="none" w:sz="0" w:space="0" w:color="auto"/>
          </w:divBdr>
        </w:div>
        <w:div w:id="1147743530">
          <w:marLeft w:val="0"/>
          <w:marRight w:val="0"/>
          <w:marTop w:val="0"/>
          <w:marBottom w:val="0"/>
          <w:divBdr>
            <w:top w:val="none" w:sz="0" w:space="0" w:color="auto"/>
            <w:left w:val="none" w:sz="0" w:space="0" w:color="auto"/>
            <w:bottom w:val="none" w:sz="0" w:space="0" w:color="auto"/>
            <w:right w:val="none" w:sz="0" w:space="0" w:color="auto"/>
          </w:divBdr>
        </w:div>
        <w:div w:id="1195536734">
          <w:marLeft w:val="0"/>
          <w:marRight w:val="0"/>
          <w:marTop w:val="0"/>
          <w:marBottom w:val="0"/>
          <w:divBdr>
            <w:top w:val="none" w:sz="0" w:space="0" w:color="auto"/>
            <w:left w:val="none" w:sz="0" w:space="0" w:color="auto"/>
            <w:bottom w:val="none" w:sz="0" w:space="0" w:color="auto"/>
            <w:right w:val="none" w:sz="0" w:space="0" w:color="auto"/>
          </w:divBdr>
        </w:div>
        <w:div w:id="1272321103">
          <w:marLeft w:val="0"/>
          <w:marRight w:val="0"/>
          <w:marTop w:val="0"/>
          <w:marBottom w:val="0"/>
          <w:divBdr>
            <w:top w:val="none" w:sz="0" w:space="0" w:color="auto"/>
            <w:left w:val="none" w:sz="0" w:space="0" w:color="auto"/>
            <w:bottom w:val="none" w:sz="0" w:space="0" w:color="auto"/>
            <w:right w:val="none" w:sz="0" w:space="0" w:color="auto"/>
          </w:divBdr>
        </w:div>
        <w:div w:id="1474985711">
          <w:marLeft w:val="0"/>
          <w:marRight w:val="0"/>
          <w:marTop w:val="0"/>
          <w:marBottom w:val="0"/>
          <w:divBdr>
            <w:top w:val="none" w:sz="0" w:space="0" w:color="auto"/>
            <w:left w:val="none" w:sz="0" w:space="0" w:color="auto"/>
            <w:bottom w:val="none" w:sz="0" w:space="0" w:color="auto"/>
            <w:right w:val="none" w:sz="0" w:space="0" w:color="auto"/>
          </w:divBdr>
        </w:div>
        <w:div w:id="1507986998">
          <w:marLeft w:val="0"/>
          <w:marRight w:val="0"/>
          <w:marTop w:val="0"/>
          <w:marBottom w:val="0"/>
          <w:divBdr>
            <w:top w:val="none" w:sz="0" w:space="0" w:color="auto"/>
            <w:left w:val="none" w:sz="0" w:space="0" w:color="auto"/>
            <w:bottom w:val="none" w:sz="0" w:space="0" w:color="auto"/>
            <w:right w:val="none" w:sz="0" w:space="0" w:color="auto"/>
          </w:divBdr>
        </w:div>
        <w:div w:id="1571234202">
          <w:marLeft w:val="0"/>
          <w:marRight w:val="0"/>
          <w:marTop w:val="0"/>
          <w:marBottom w:val="0"/>
          <w:divBdr>
            <w:top w:val="none" w:sz="0" w:space="0" w:color="auto"/>
            <w:left w:val="none" w:sz="0" w:space="0" w:color="auto"/>
            <w:bottom w:val="none" w:sz="0" w:space="0" w:color="auto"/>
            <w:right w:val="none" w:sz="0" w:space="0" w:color="auto"/>
          </w:divBdr>
        </w:div>
        <w:div w:id="1713072747">
          <w:marLeft w:val="0"/>
          <w:marRight w:val="0"/>
          <w:marTop w:val="0"/>
          <w:marBottom w:val="0"/>
          <w:divBdr>
            <w:top w:val="none" w:sz="0" w:space="0" w:color="auto"/>
            <w:left w:val="none" w:sz="0" w:space="0" w:color="auto"/>
            <w:bottom w:val="none" w:sz="0" w:space="0" w:color="auto"/>
            <w:right w:val="none" w:sz="0" w:space="0" w:color="auto"/>
          </w:divBdr>
        </w:div>
        <w:div w:id="1927105921">
          <w:marLeft w:val="0"/>
          <w:marRight w:val="0"/>
          <w:marTop w:val="0"/>
          <w:marBottom w:val="0"/>
          <w:divBdr>
            <w:top w:val="none" w:sz="0" w:space="0" w:color="auto"/>
            <w:left w:val="none" w:sz="0" w:space="0" w:color="auto"/>
            <w:bottom w:val="none" w:sz="0" w:space="0" w:color="auto"/>
            <w:right w:val="none" w:sz="0" w:space="0" w:color="auto"/>
          </w:divBdr>
        </w:div>
        <w:div w:id="1962376467">
          <w:marLeft w:val="0"/>
          <w:marRight w:val="0"/>
          <w:marTop w:val="0"/>
          <w:marBottom w:val="0"/>
          <w:divBdr>
            <w:top w:val="none" w:sz="0" w:space="0" w:color="auto"/>
            <w:left w:val="none" w:sz="0" w:space="0" w:color="auto"/>
            <w:bottom w:val="none" w:sz="0" w:space="0" w:color="auto"/>
            <w:right w:val="none" w:sz="0" w:space="0" w:color="auto"/>
          </w:divBdr>
        </w:div>
      </w:divsChild>
    </w:div>
    <w:div w:id="2126927277">
      <w:bodyDiv w:val="1"/>
      <w:marLeft w:val="0"/>
      <w:marRight w:val="0"/>
      <w:marTop w:val="0"/>
      <w:marBottom w:val="0"/>
      <w:divBdr>
        <w:top w:val="none" w:sz="0" w:space="0" w:color="auto"/>
        <w:left w:val="none" w:sz="0" w:space="0" w:color="auto"/>
        <w:bottom w:val="none" w:sz="0" w:space="0" w:color="auto"/>
        <w:right w:val="none" w:sz="0" w:space="0" w:color="auto"/>
      </w:divBdr>
      <w:divsChild>
        <w:div w:id="33313805">
          <w:marLeft w:val="0"/>
          <w:marRight w:val="0"/>
          <w:marTop w:val="0"/>
          <w:marBottom w:val="0"/>
          <w:divBdr>
            <w:top w:val="none" w:sz="0" w:space="0" w:color="auto"/>
            <w:left w:val="none" w:sz="0" w:space="0" w:color="auto"/>
            <w:bottom w:val="none" w:sz="0" w:space="0" w:color="auto"/>
            <w:right w:val="none" w:sz="0" w:space="0" w:color="auto"/>
          </w:divBdr>
        </w:div>
        <w:div w:id="51736683">
          <w:marLeft w:val="0"/>
          <w:marRight w:val="0"/>
          <w:marTop w:val="0"/>
          <w:marBottom w:val="0"/>
          <w:divBdr>
            <w:top w:val="none" w:sz="0" w:space="0" w:color="auto"/>
            <w:left w:val="none" w:sz="0" w:space="0" w:color="auto"/>
            <w:bottom w:val="none" w:sz="0" w:space="0" w:color="auto"/>
            <w:right w:val="none" w:sz="0" w:space="0" w:color="auto"/>
          </w:divBdr>
        </w:div>
        <w:div w:id="193733644">
          <w:marLeft w:val="0"/>
          <w:marRight w:val="0"/>
          <w:marTop w:val="0"/>
          <w:marBottom w:val="0"/>
          <w:divBdr>
            <w:top w:val="none" w:sz="0" w:space="0" w:color="auto"/>
            <w:left w:val="none" w:sz="0" w:space="0" w:color="auto"/>
            <w:bottom w:val="none" w:sz="0" w:space="0" w:color="auto"/>
            <w:right w:val="none" w:sz="0" w:space="0" w:color="auto"/>
          </w:divBdr>
        </w:div>
        <w:div w:id="237443036">
          <w:marLeft w:val="0"/>
          <w:marRight w:val="0"/>
          <w:marTop w:val="0"/>
          <w:marBottom w:val="0"/>
          <w:divBdr>
            <w:top w:val="none" w:sz="0" w:space="0" w:color="auto"/>
            <w:left w:val="none" w:sz="0" w:space="0" w:color="auto"/>
            <w:bottom w:val="none" w:sz="0" w:space="0" w:color="auto"/>
            <w:right w:val="none" w:sz="0" w:space="0" w:color="auto"/>
          </w:divBdr>
        </w:div>
        <w:div w:id="298459453">
          <w:marLeft w:val="0"/>
          <w:marRight w:val="0"/>
          <w:marTop w:val="0"/>
          <w:marBottom w:val="0"/>
          <w:divBdr>
            <w:top w:val="none" w:sz="0" w:space="0" w:color="auto"/>
            <w:left w:val="none" w:sz="0" w:space="0" w:color="auto"/>
            <w:bottom w:val="none" w:sz="0" w:space="0" w:color="auto"/>
            <w:right w:val="none" w:sz="0" w:space="0" w:color="auto"/>
          </w:divBdr>
        </w:div>
        <w:div w:id="460802667">
          <w:marLeft w:val="0"/>
          <w:marRight w:val="0"/>
          <w:marTop w:val="0"/>
          <w:marBottom w:val="0"/>
          <w:divBdr>
            <w:top w:val="none" w:sz="0" w:space="0" w:color="auto"/>
            <w:left w:val="none" w:sz="0" w:space="0" w:color="auto"/>
            <w:bottom w:val="none" w:sz="0" w:space="0" w:color="auto"/>
            <w:right w:val="none" w:sz="0" w:space="0" w:color="auto"/>
          </w:divBdr>
        </w:div>
        <w:div w:id="479080717">
          <w:marLeft w:val="0"/>
          <w:marRight w:val="0"/>
          <w:marTop w:val="0"/>
          <w:marBottom w:val="0"/>
          <w:divBdr>
            <w:top w:val="none" w:sz="0" w:space="0" w:color="auto"/>
            <w:left w:val="none" w:sz="0" w:space="0" w:color="auto"/>
            <w:bottom w:val="none" w:sz="0" w:space="0" w:color="auto"/>
            <w:right w:val="none" w:sz="0" w:space="0" w:color="auto"/>
          </w:divBdr>
        </w:div>
        <w:div w:id="508256720">
          <w:marLeft w:val="0"/>
          <w:marRight w:val="0"/>
          <w:marTop w:val="0"/>
          <w:marBottom w:val="0"/>
          <w:divBdr>
            <w:top w:val="none" w:sz="0" w:space="0" w:color="auto"/>
            <w:left w:val="none" w:sz="0" w:space="0" w:color="auto"/>
            <w:bottom w:val="none" w:sz="0" w:space="0" w:color="auto"/>
            <w:right w:val="none" w:sz="0" w:space="0" w:color="auto"/>
          </w:divBdr>
        </w:div>
        <w:div w:id="656038281">
          <w:marLeft w:val="0"/>
          <w:marRight w:val="0"/>
          <w:marTop w:val="0"/>
          <w:marBottom w:val="0"/>
          <w:divBdr>
            <w:top w:val="none" w:sz="0" w:space="0" w:color="auto"/>
            <w:left w:val="none" w:sz="0" w:space="0" w:color="auto"/>
            <w:bottom w:val="none" w:sz="0" w:space="0" w:color="auto"/>
            <w:right w:val="none" w:sz="0" w:space="0" w:color="auto"/>
          </w:divBdr>
        </w:div>
        <w:div w:id="1025014417">
          <w:marLeft w:val="0"/>
          <w:marRight w:val="0"/>
          <w:marTop w:val="0"/>
          <w:marBottom w:val="0"/>
          <w:divBdr>
            <w:top w:val="none" w:sz="0" w:space="0" w:color="auto"/>
            <w:left w:val="none" w:sz="0" w:space="0" w:color="auto"/>
            <w:bottom w:val="none" w:sz="0" w:space="0" w:color="auto"/>
            <w:right w:val="none" w:sz="0" w:space="0" w:color="auto"/>
          </w:divBdr>
        </w:div>
        <w:div w:id="1164513656">
          <w:marLeft w:val="0"/>
          <w:marRight w:val="0"/>
          <w:marTop w:val="0"/>
          <w:marBottom w:val="0"/>
          <w:divBdr>
            <w:top w:val="none" w:sz="0" w:space="0" w:color="auto"/>
            <w:left w:val="none" w:sz="0" w:space="0" w:color="auto"/>
            <w:bottom w:val="none" w:sz="0" w:space="0" w:color="auto"/>
            <w:right w:val="none" w:sz="0" w:space="0" w:color="auto"/>
          </w:divBdr>
        </w:div>
        <w:div w:id="1195654935">
          <w:marLeft w:val="0"/>
          <w:marRight w:val="0"/>
          <w:marTop w:val="0"/>
          <w:marBottom w:val="0"/>
          <w:divBdr>
            <w:top w:val="none" w:sz="0" w:space="0" w:color="auto"/>
            <w:left w:val="none" w:sz="0" w:space="0" w:color="auto"/>
            <w:bottom w:val="none" w:sz="0" w:space="0" w:color="auto"/>
            <w:right w:val="none" w:sz="0" w:space="0" w:color="auto"/>
          </w:divBdr>
        </w:div>
        <w:div w:id="1221943139">
          <w:marLeft w:val="0"/>
          <w:marRight w:val="0"/>
          <w:marTop w:val="0"/>
          <w:marBottom w:val="0"/>
          <w:divBdr>
            <w:top w:val="none" w:sz="0" w:space="0" w:color="auto"/>
            <w:left w:val="none" w:sz="0" w:space="0" w:color="auto"/>
            <w:bottom w:val="none" w:sz="0" w:space="0" w:color="auto"/>
            <w:right w:val="none" w:sz="0" w:space="0" w:color="auto"/>
          </w:divBdr>
        </w:div>
        <w:div w:id="1330986175">
          <w:marLeft w:val="0"/>
          <w:marRight w:val="0"/>
          <w:marTop w:val="0"/>
          <w:marBottom w:val="0"/>
          <w:divBdr>
            <w:top w:val="none" w:sz="0" w:space="0" w:color="auto"/>
            <w:left w:val="none" w:sz="0" w:space="0" w:color="auto"/>
            <w:bottom w:val="none" w:sz="0" w:space="0" w:color="auto"/>
            <w:right w:val="none" w:sz="0" w:space="0" w:color="auto"/>
          </w:divBdr>
        </w:div>
        <w:div w:id="1529367607">
          <w:marLeft w:val="0"/>
          <w:marRight w:val="0"/>
          <w:marTop w:val="0"/>
          <w:marBottom w:val="0"/>
          <w:divBdr>
            <w:top w:val="none" w:sz="0" w:space="0" w:color="auto"/>
            <w:left w:val="none" w:sz="0" w:space="0" w:color="auto"/>
            <w:bottom w:val="none" w:sz="0" w:space="0" w:color="auto"/>
            <w:right w:val="none" w:sz="0" w:space="0" w:color="auto"/>
          </w:divBdr>
        </w:div>
        <w:div w:id="1768306382">
          <w:marLeft w:val="0"/>
          <w:marRight w:val="0"/>
          <w:marTop w:val="0"/>
          <w:marBottom w:val="0"/>
          <w:divBdr>
            <w:top w:val="none" w:sz="0" w:space="0" w:color="auto"/>
            <w:left w:val="none" w:sz="0" w:space="0" w:color="auto"/>
            <w:bottom w:val="none" w:sz="0" w:space="0" w:color="auto"/>
            <w:right w:val="none" w:sz="0" w:space="0" w:color="auto"/>
          </w:divBdr>
        </w:div>
        <w:div w:id="1820608112">
          <w:marLeft w:val="0"/>
          <w:marRight w:val="0"/>
          <w:marTop w:val="0"/>
          <w:marBottom w:val="0"/>
          <w:divBdr>
            <w:top w:val="none" w:sz="0" w:space="0" w:color="auto"/>
            <w:left w:val="none" w:sz="0" w:space="0" w:color="auto"/>
            <w:bottom w:val="none" w:sz="0" w:space="0" w:color="auto"/>
            <w:right w:val="none" w:sz="0" w:space="0" w:color="auto"/>
          </w:divBdr>
        </w:div>
        <w:div w:id="1886332647">
          <w:marLeft w:val="0"/>
          <w:marRight w:val="0"/>
          <w:marTop w:val="0"/>
          <w:marBottom w:val="0"/>
          <w:divBdr>
            <w:top w:val="none" w:sz="0" w:space="0" w:color="auto"/>
            <w:left w:val="none" w:sz="0" w:space="0" w:color="auto"/>
            <w:bottom w:val="none" w:sz="0" w:space="0" w:color="auto"/>
            <w:right w:val="none" w:sz="0" w:space="0" w:color="auto"/>
          </w:divBdr>
        </w:div>
        <w:div w:id="1950577523">
          <w:marLeft w:val="0"/>
          <w:marRight w:val="0"/>
          <w:marTop w:val="0"/>
          <w:marBottom w:val="0"/>
          <w:divBdr>
            <w:top w:val="none" w:sz="0" w:space="0" w:color="auto"/>
            <w:left w:val="none" w:sz="0" w:space="0" w:color="auto"/>
            <w:bottom w:val="none" w:sz="0" w:space="0" w:color="auto"/>
            <w:right w:val="none" w:sz="0" w:space="0" w:color="auto"/>
          </w:divBdr>
        </w:div>
        <w:div w:id="1988165934">
          <w:marLeft w:val="0"/>
          <w:marRight w:val="0"/>
          <w:marTop w:val="0"/>
          <w:marBottom w:val="0"/>
          <w:divBdr>
            <w:top w:val="none" w:sz="0" w:space="0" w:color="auto"/>
            <w:left w:val="none" w:sz="0" w:space="0" w:color="auto"/>
            <w:bottom w:val="none" w:sz="0" w:space="0" w:color="auto"/>
            <w:right w:val="none" w:sz="0" w:space="0" w:color="auto"/>
          </w:divBdr>
        </w:div>
      </w:divsChild>
    </w:div>
    <w:div w:id="2135052828">
      <w:bodyDiv w:val="1"/>
      <w:marLeft w:val="0"/>
      <w:marRight w:val="0"/>
      <w:marTop w:val="0"/>
      <w:marBottom w:val="0"/>
      <w:divBdr>
        <w:top w:val="none" w:sz="0" w:space="0" w:color="auto"/>
        <w:left w:val="none" w:sz="0" w:space="0" w:color="auto"/>
        <w:bottom w:val="none" w:sz="0" w:space="0" w:color="auto"/>
        <w:right w:val="none" w:sz="0" w:space="0" w:color="auto"/>
      </w:divBdr>
      <w:divsChild>
        <w:div w:id="133648542">
          <w:marLeft w:val="0"/>
          <w:marRight w:val="0"/>
          <w:marTop w:val="0"/>
          <w:marBottom w:val="0"/>
          <w:divBdr>
            <w:top w:val="none" w:sz="0" w:space="0" w:color="auto"/>
            <w:left w:val="none" w:sz="0" w:space="0" w:color="auto"/>
            <w:bottom w:val="none" w:sz="0" w:space="0" w:color="auto"/>
            <w:right w:val="none" w:sz="0" w:space="0" w:color="auto"/>
          </w:divBdr>
        </w:div>
        <w:div w:id="135725565">
          <w:marLeft w:val="0"/>
          <w:marRight w:val="0"/>
          <w:marTop w:val="0"/>
          <w:marBottom w:val="0"/>
          <w:divBdr>
            <w:top w:val="none" w:sz="0" w:space="0" w:color="auto"/>
            <w:left w:val="none" w:sz="0" w:space="0" w:color="auto"/>
            <w:bottom w:val="none" w:sz="0" w:space="0" w:color="auto"/>
            <w:right w:val="none" w:sz="0" w:space="0" w:color="auto"/>
          </w:divBdr>
        </w:div>
        <w:div w:id="204568504">
          <w:marLeft w:val="0"/>
          <w:marRight w:val="0"/>
          <w:marTop w:val="0"/>
          <w:marBottom w:val="0"/>
          <w:divBdr>
            <w:top w:val="none" w:sz="0" w:space="0" w:color="auto"/>
            <w:left w:val="none" w:sz="0" w:space="0" w:color="auto"/>
            <w:bottom w:val="none" w:sz="0" w:space="0" w:color="auto"/>
            <w:right w:val="none" w:sz="0" w:space="0" w:color="auto"/>
          </w:divBdr>
        </w:div>
        <w:div w:id="223876365">
          <w:marLeft w:val="0"/>
          <w:marRight w:val="0"/>
          <w:marTop w:val="0"/>
          <w:marBottom w:val="0"/>
          <w:divBdr>
            <w:top w:val="none" w:sz="0" w:space="0" w:color="auto"/>
            <w:left w:val="none" w:sz="0" w:space="0" w:color="auto"/>
            <w:bottom w:val="none" w:sz="0" w:space="0" w:color="auto"/>
            <w:right w:val="none" w:sz="0" w:space="0" w:color="auto"/>
          </w:divBdr>
        </w:div>
        <w:div w:id="251934455">
          <w:marLeft w:val="0"/>
          <w:marRight w:val="0"/>
          <w:marTop w:val="0"/>
          <w:marBottom w:val="0"/>
          <w:divBdr>
            <w:top w:val="none" w:sz="0" w:space="0" w:color="auto"/>
            <w:left w:val="none" w:sz="0" w:space="0" w:color="auto"/>
            <w:bottom w:val="none" w:sz="0" w:space="0" w:color="auto"/>
            <w:right w:val="none" w:sz="0" w:space="0" w:color="auto"/>
          </w:divBdr>
        </w:div>
        <w:div w:id="306404049">
          <w:marLeft w:val="0"/>
          <w:marRight w:val="0"/>
          <w:marTop w:val="0"/>
          <w:marBottom w:val="0"/>
          <w:divBdr>
            <w:top w:val="none" w:sz="0" w:space="0" w:color="auto"/>
            <w:left w:val="none" w:sz="0" w:space="0" w:color="auto"/>
            <w:bottom w:val="none" w:sz="0" w:space="0" w:color="auto"/>
            <w:right w:val="none" w:sz="0" w:space="0" w:color="auto"/>
          </w:divBdr>
        </w:div>
        <w:div w:id="352002195">
          <w:marLeft w:val="0"/>
          <w:marRight w:val="0"/>
          <w:marTop w:val="0"/>
          <w:marBottom w:val="0"/>
          <w:divBdr>
            <w:top w:val="none" w:sz="0" w:space="0" w:color="auto"/>
            <w:left w:val="none" w:sz="0" w:space="0" w:color="auto"/>
            <w:bottom w:val="none" w:sz="0" w:space="0" w:color="auto"/>
            <w:right w:val="none" w:sz="0" w:space="0" w:color="auto"/>
          </w:divBdr>
        </w:div>
        <w:div w:id="362443566">
          <w:marLeft w:val="0"/>
          <w:marRight w:val="0"/>
          <w:marTop w:val="0"/>
          <w:marBottom w:val="0"/>
          <w:divBdr>
            <w:top w:val="none" w:sz="0" w:space="0" w:color="auto"/>
            <w:left w:val="none" w:sz="0" w:space="0" w:color="auto"/>
            <w:bottom w:val="none" w:sz="0" w:space="0" w:color="auto"/>
            <w:right w:val="none" w:sz="0" w:space="0" w:color="auto"/>
          </w:divBdr>
        </w:div>
        <w:div w:id="425658640">
          <w:marLeft w:val="0"/>
          <w:marRight w:val="0"/>
          <w:marTop w:val="0"/>
          <w:marBottom w:val="0"/>
          <w:divBdr>
            <w:top w:val="none" w:sz="0" w:space="0" w:color="auto"/>
            <w:left w:val="none" w:sz="0" w:space="0" w:color="auto"/>
            <w:bottom w:val="none" w:sz="0" w:space="0" w:color="auto"/>
            <w:right w:val="none" w:sz="0" w:space="0" w:color="auto"/>
          </w:divBdr>
        </w:div>
        <w:div w:id="451485086">
          <w:marLeft w:val="0"/>
          <w:marRight w:val="0"/>
          <w:marTop w:val="0"/>
          <w:marBottom w:val="0"/>
          <w:divBdr>
            <w:top w:val="none" w:sz="0" w:space="0" w:color="auto"/>
            <w:left w:val="none" w:sz="0" w:space="0" w:color="auto"/>
            <w:bottom w:val="none" w:sz="0" w:space="0" w:color="auto"/>
            <w:right w:val="none" w:sz="0" w:space="0" w:color="auto"/>
          </w:divBdr>
        </w:div>
        <w:div w:id="601180492">
          <w:marLeft w:val="0"/>
          <w:marRight w:val="0"/>
          <w:marTop w:val="0"/>
          <w:marBottom w:val="0"/>
          <w:divBdr>
            <w:top w:val="none" w:sz="0" w:space="0" w:color="auto"/>
            <w:left w:val="none" w:sz="0" w:space="0" w:color="auto"/>
            <w:bottom w:val="none" w:sz="0" w:space="0" w:color="auto"/>
            <w:right w:val="none" w:sz="0" w:space="0" w:color="auto"/>
          </w:divBdr>
        </w:div>
        <w:div w:id="633413909">
          <w:marLeft w:val="0"/>
          <w:marRight w:val="0"/>
          <w:marTop w:val="0"/>
          <w:marBottom w:val="0"/>
          <w:divBdr>
            <w:top w:val="none" w:sz="0" w:space="0" w:color="auto"/>
            <w:left w:val="none" w:sz="0" w:space="0" w:color="auto"/>
            <w:bottom w:val="none" w:sz="0" w:space="0" w:color="auto"/>
            <w:right w:val="none" w:sz="0" w:space="0" w:color="auto"/>
          </w:divBdr>
        </w:div>
        <w:div w:id="679048164">
          <w:marLeft w:val="0"/>
          <w:marRight w:val="0"/>
          <w:marTop w:val="0"/>
          <w:marBottom w:val="0"/>
          <w:divBdr>
            <w:top w:val="none" w:sz="0" w:space="0" w:color="auto"/>
            <w:left w:val="none" w:sz="0" w:space="0" w:color="auto"/>
            <w:bottom w:val="none" w:sz="0" w:space="0" w:color="auto"/>
            <w:right w:val="none" w:sz="0" w:space="0" w:color="auto"/>
          </w:divBdr>
        </w:div>
        <w:div w:id="689334657">
          <w:marLeft w:val="0"/>
          <w:marRight w:val="0"/>
          <w:marTop w:val="0"/>
          <w:marBottom w:val="0"/>
          <w:divBdr>
            <w:top w:val="none" w:sz="0" w:space="0" w:color="auto"/>
            <w:left w:val="none" w:sz="0" w:space="0" w:color="auto"/>
            <w:bottom w:val="none" w:sz="0" w:space="0" w:color="auto"/>
            <w:right w:val="none" w:sz="0" w:space="0" w:color="auto"/>
          </w:divBdr>
        </w:div>
        <w:div w:id="696153152">
          <w:marLeft w:val="0"/>
          <w:marRight w:val="0"/>
          <w:marTop w:val="0"/>
          <w:marBottom w:val="0"/>
          <w:divBdr>
            <w:top w:val="none" w:sz="0" w:space="0" w:color="auto"/>
            <w:left w:val="none" w:sz="0" w:space="0" w:color="auto"/>
            <w:bottom w:val="none" w:sz="0" w:space="0" w:color="auto"/>
            <w:right w:val="none" w:sz="0" w:space="0" w:color="auto"/>
          </w:divBdr>
        </w:div>
        <w:div w:id="733966925">
          <w:marLeft w:val="0"/>
          <w:marRight w:val="0"/>
          <w:marTop w:val="0"/>
          <w:marBottom w:val="0"/>
          <w:divBdr>
            <w:top w:val="none" w:sz="0" w:space="0" w:color="auto"/>
            <w:left w:val="none" w:sz="0" w:space="0" w:color="auto"/>
            <w:bottom w:val="none" w:sz="0" w:space="0" w:color="auto"/>
            <w:right w:val="none" w:sz="0" w:space="0" w:color="auto"/>
          </w:divBdr>
        </w:div>
        <w:div w:id="738942827">
          <w:marLeft w:val="0"/>
          <w:marRight w:val="0"/>
          <w:marTop w:val="0"/>
          <w:marBottom w:val="0"/>
          <w:divBdr>
            <w:top w:val="none" w:sz="0" w:space="0" w:color="auto"/>
            <w:left w:val="none" w:sz="0" w:space="0" w:color="auto"/>
            <w:bottom w:val="none" w:sz="0" w:space="0" w:color="auto"/>
            <w:right w:val="none" w:sz="0" w:space="0" w:color="auto"/>
          </w:divBdr>
        </w:div>
        <w:div w:id="760949113">
          <w:marLeft w:val="0"/>
          <w:marRight w:val="0"/>
          <w:marTop w:val="0"/>
          <w:marBottom w:val="0"/>
          <w:divBdr>
            <w:top w:val="none" w:sz="0" w:space="0" w:color="auto"/>
            <w:left w:val="none" w:sz="0" w:space="0" w:color="auto"/>
            <w:bottom w:val="none" w:sz="0" w:space="0" w:color="auto"/>
            <w:right w:val="none" w:sz="0" w:space="0" w:color="auto"/>
          </w:divBdr>
        </w:div>
        <w:div w:id="766657011">
          <w:marLeft w:val="0"/>
          <w:marRight w:val="0"/>
          <w:marTop w:val="0"/>
          <w:marBottom w:val="0"/>
          <w:divBdr>
            <w:top w:val="none" w:sz="0" w:space="0" w:color="auto"/>
            <w:left w:val="none" w:sz="0" w:space="0" w:color="auto"/>
            <w:bottom w:val="none" w:sz="0" w:space="0" w:color="auto"/>
            <w:right w:val="none" w:sz="0" w:space="0" w:color="auto"/>
          </w:divBdr>
        </w:div>
        <w:div w:id="855119870">
          <w:marLeft w:val="0"/>
          <w:marRight w:val="0"/>
          <w:marTop w:val="0"/>
          <w:marBottom w:val="0"/>
          <w:divBdr>
            <w:top w:val="none" w:sz="0" w:space="0" w:color="auto"/>
            <w:left w:val="none" w:sz="0" w:space="0" w:color="auto"/>
            <w:bottom w:val="none" w:sz="0" w:space="0" w:color="auto"/>
            <w:right w:val="none" w:sz="0" w:space="0" w:color="auto"/>
          </w:divBdr>
        </w:div>
        <w:div w:id="912813281">
          <w:marLeft w:val="0"/>
          <w:marRight w:val="0"/>
          <w:marTop w:val="0"/>
          <w:marBottom w:val="0"/>
          <w:divBdr>
            <w:top w:val="none" w:sz="0" w:space="0" w:color="auto"/>
            <w:left w:val="none" w:sz="0" w:space="0" w:color="auto"/>
            <w:bottom w:val="none" w:sz="0" w:space="0" w:color="auto"/>
            <w:right w:val="none" w:sz="0" w:space="0" w:color="auto"/>
          </w:divBdr>
        </w:div>
        <w:div w:id="945695920">
          <w:marLeft w:val="0"/>
          <w:marRight w:val="0"/>
          <w:marTop w:val="0"/>
          <w:marBottom w:val="0"/>
          <w:divBdr>
            <w:top w:val="none" w:sz="0" w:space="0" w:color="auto"/>
            <w:left w:val="none" w:sz="0" w:space="0" w:color="auto"/>
            <w:bottom w:val="none" w:sz="0" w:space="0" w:color="auto"/>
            <w:right w:val="none" w:sz="0" w:space="0" w:color="auto"/>
          </w:divBdr>
        </w:div>
        <w:div w:id="1050769706">
          <w:marLeft w:val="0"/>
          <w:marRight w:val="0"/>
          <w:marTop w:val="0"/>
          <w:marBottom w:val="0"/>
          <w:divBdr>
            <w:top w:val="none" w:sz="0" w:space="0" w:color="auto"/>
            <w:left w:val="none" w:sz="0" w:space="0" w:color="auto"/>
            <w:bottom w:val="none" w:sz="0" w:space="0" w:color="auto"/>
            <w:right w:val="none" w:sz="0" w:space="0" w:color="auto"/>
          </w:divBdr>
        </w:div>
        <w:div w:id="1051928791">
          <w:marLeft w:val="0"/>
          <w:marRight w:val="0"/>
          <w:marTop w:val="0"/>
          <w:marBottom w:val="0"/>
          <w:divBdr>
            <w:top w:val="none" w:sz="0" w:space="0" w:color="auto"/>
            <w:left w:val="none" w:sz="0" w:space="0" w:color="auto"/>
            <w:bottom w:val="none" w:sz="0" w:space="0" w:color="auto"/>
            <w:right w:val="none" w:sz="0" w:space="0" w:color="auto"/>
          </w:divBdr>
        </w:div>
        <w:div w:id="1079131957">
          <w:marLeft w:val="0"/>
          <w:marRight w:val="0"/>
          <w:marTop w:val="0"/>
          <w:marBottom w:val="0"/>
          <w:divBdr>
            <w:top w:val="none" w:sz="0" w:space="0" w:color="auto"/>
            <w:left w:val="none" w:sz="0" w:space="0" w:color="auto"/>
            <w:bottom w:val="none" w:sz="0" w:space="0" w:color="auto"/>
            <w:right w:val="none" w:sz="0" w:space="0" w:color="auto"/>
          </w:divBdr>
        </w:div>
        <w:div w:id="1158887654">
          <w:marLeft w:val="0"/>
          <w:marRight w:val="0"/>
          <w:marTop w:val="0"/>
          <w:marBottom w:val="0"/>
          <w:divBdr>
            <w:top w:val="none" w:sz="0" w:space="0" w:color="auto"/>
            <w:left w:val="none" w:sz="0" w:space="0" w:color="auto"/>
            <w:bottom w:val="none" w:sz="0" w:space="0" w:color="auto"/>
            <w:right w:val="none" w:sz="0" w:space="0" w:color="auto"/>
          </w:divBdr>
        </w:div>
        <w:div w:id="1183058136">
          <w:marLeft w:val="0"/>
          <w:marRight w:val="0"/>
          <w:marTop w:val="0"/>
          <w:marBottom w:val="0"/>
          <w:divBdr>
            <w:top w:val="none" w:sz="0" w:space="0" w:color="auto"/>
            <w:left w:val="none" w:sz="0" w:space="0" w:color="auto"/>
            <w:bottom w:val="none" w:sz="0" w:space="0" w:color="auto"/>
            <w:right w:val="none" w:sz="0" w:space="0" w:color="auto"/>
          </w:divBdr>
        </w:div>
        <w:div w:id="1188328828">
          <w:marLeft w:val="0"/>
          <w:marRight w:val="0"/>
          <w:marTop w:val="0"/>
          <w:marBottom w:val="0"/>
          <w:divBdr>
            <w:top w:val="none" w:sz="0" w:space="0" w:color="auto"/>
            <w:left w:val="none" w:sz="0" w:space="0" w:color="auto"/>
            <w:bottom w:val="none" w:sz="0" w:space="0" w:color="auto"/>
            <w:right w:val="none" w:sz="0" w:space="0" w:color="auto"/>
          </w:divBdr>
        </w:div>
        <w:div w:id="1190098755">
          <w:marLeft w:val="0"/>
          <w:marRight w:val="0"/>
          <w:marTop w:val="0"/>
          <w:marBottom w:val="0"/>
          <w:divBdr>
            <w:top w:val="none" w:sz="0" w:space="0" w:color="auto"/>
            <w:left w:val="none" w:sz="0" w:space="0" w:color="auto"/>
            <w:bottom w:val="none" w:sz="0" w:space="0" w:color="auto"/>
            <w:right w:val="none" w:sz="0" w:space="0" w:color="auto"/>
          </w:divBdr>
        </w:div>
        <w:div w:id="1351107895">
          <w:marLeft w:val="0"/>
          <w:marRight w:val="0"/>
          <w:marTop w:val="0"/>
          <w:marBottom w:val="0"/>
          <w:divBdr>
            <w:top w:val="none" w:sz="0" w:space="0" w:color="auto"/>
            <w:left w:val="none" w:sz="0" w:space="0" w:color="auto"/>
            <w:bottom w:val="none" w:sz="0" w:space="0" w:color="auto"/>
            <w:right w:val="none" w:sz="0" w:space="0" w:color="auto"/>
          </w:divBdr>
        </w:div>
        <w:div w:id="1353339465">
          <w:marLeft w:val="0"/>
          <w:marRight w:val="0"/>
          <w:marTop w:val="0"/>
          <w:marBottom w:val="0"/>
          <w:divBdr>
            <w:top w:val="none" w:sz="0" w:space="0" w:color="auto"/>
            <w:left w:val="none" w:sz="0" w:space="0" w:color="auto"/>
            <w:bottom w:val="none" w:sz="0" w:space="0" w:color="auto"/>
            <w:right w:val="none" w:sz="0" w:space="0" w:color="auto"/>
          </w:divBdr>
        </w:div>
        <w:div w:id="1380517942">
          <w:marLeft w:val="0"/>
          <w:marRight w:val="0"/>
          <w:marTop w:val="0"/>
          <w:marBottom w:val="0"/>
          <w:divBdr>
            <w:top w:val="none" w:sz="0" w:space="0" w:color="auto"/>
            <w:left w:val="none" w:sz="0" w:space="0" w:color="auto"/>
            <w:bottom w:val="none" w:sz="0" w:space="0" w:color="auto"/>
            <w:right w:val="none" w:sz="0" w:space="0" w:color="auto"/>
          </w:divBdr>
        </w:div>
        <w:div w:id="1445424995">
          <w:marLeft w:val="0"/>
          <w:marRight w:val="0"/>
          <w:marTop w:val="0"/>
          <w:marBottom w:val="0"/>
          <w:divBdr>
            <w:top w:val="none" w:sz="0" w:space="0" w:color="auto"/>
            <w:left w:val="none" w:sz="0" w:space="0" w:color="auto"/>
            <w:bottom w:val="none" w:sz="0" w:space="0" w:color="auto"/>
            <w:right w:val="none" w:sz="0" w:space="0" w:color="auto"/>
          </w:divBdr>
        </w:div>
        <w:div w:id="1475217616">
          <w:marLeft w:val="0"/>
          <w:marRight w:val="0"/>
          <w:marTop w:val="0"/>
          <w:marBottom w:val="0"/>
          <w:divBdr>
            <w:top w:val="none" w:sz="0" w:space="0" w:color="auto"/>
            <w:left w:val="none" w:sz="0" w:space="0" w:color="auto"/>
            <w:bottom w:val="none" w:sz="0" w:space="0" w:color="auto"/>
            <w:right w:val="none" w:sz="0" w:space="0" w:color="auto"/>
          </w:divBdr>
        </w:div>
        <w:div w:id="1516455097">
          <w:marLeft w:val="0"/>
          <w:marRight w:val="0"/>
          <w:marTop w:val="0"/>
          <w:marBottom w:val="0"/>
          <w:divBdr>
            <w:top w:val="none" w:sz="0" w:space="0" w:color="auto"/>
            <w:left w:val="none" w:sz="0" w:space="0" w:color="auto"/>
            <w:bottom w:val="none" w:sz="0" w:space="0" w:color="auto"/>
            <w:right w:val="none" w:sz="0" w:space="0" w:color="auto"/>
          </w:divBdr>
        </w:div>
        <w:div w:id="1522234691">
          <w:marLeft w:val="0"/>
          <w:marRight w:val="0"/>
          <w:marTop w:val="0"/>
          <w:marBottom w:val="0"/>
          <w:divBdr>
            <w:top w:val="none" w:sz="0" w:space="0" w:color="auto"/>
            <w:left w:val="none" w:sz="0" w:space="0" w:color="auto"/>
            <w:bottom w:val="none" w:sz="0" w:space="0" w:color="auto"/>
            <w:right w:val="none" w:sz="0" w:space="0" w:color="auto"/>
          </w:divBdr>
        </w:div>
        <w:div w:id="1655375480">
          <w:marLeft w:val="0"/>
          <w:marRight w:val="0"/>
          <w:marTop w:val="0"/>
          <w:marBottom w:val="0"/>
          <w:divBdr>
            <w:top w:val="none" w:sz="0" w:space="0" w:color="auto"/>
            <w:left w:val="none" w:sz="0" w:space="0" w:color="auto"/>
            <w:bottom w:val="none" w:sz="0" w:space="0" w:color="auto"/>
            <w:right w:val="none" w:sz="0" w:space="0" w:color="auto"/>
          </w:divBdr>
        </w:div>
        <w:div w:id="1680044570">
          <w:marLeft w:val="0"/>
          <w:marRight w:val="0"/>
          <w:marTop w:val="0"/>
          <w:marBottom w:val="0"/>
          <w:divBdr>
            <w:top w:val="none" w:sz="0" w:space="0" w:color="auto"/>
            <w:left w:val="none" w:sz="0" w:space="0" w:color="auto"/>
            <w:bottom w:val="none" w:sz="0" w:space="0" w:color="auto"/>
            <w:right w:val="none" w:sz="0" w:space="0" w:color="auto"/>
          </w:divBdr>
        </w:div>
        <w:div w:id="1703936670">
          <w:marLeft w:val="0"/>
          <w:marRight w:val="0"/>
          <w:marTop w:val="0"/>
          <w:marBottom w:val="0"/>
          <w:divBdr>
            <w:top w:val="none" w:sz="0" w:space="0" w:color="auto"/>
            <w:left w:val="none" w:sz="0" w:space="0" w:color="auto"/>
            <w:bottom w:val="none" w:sz="0" w:space="0" w:color="auto"/>
            <w:right w:val="none" w:sz="0" w:space="0" w:color="auto"/>
          </w:divBdr>
        </w:div>
        <w:div w:id="1732773819">
          <w:marLeft w:val="0"/>
          <w:marRight w:val="0"/>
          <w:marTop w:val="0"/>
          <w:marBottom w:val="0"/>
          <w:divBdr>
            <w:top w:val="none" w:sz="0" w:space="0" w:color="auto"/>
            <w:left w:val="none" w:sz="0" w:space="0" w:color="auto"/>
            <w:bottom w:val="none" w:sz="0" w:space="0" w:color="auto"/>
            <w:right w:val="none" w:sz="0" w:space="0" w:color="auto"/>
          </w:divBdr>
        </w:div>
        <w:div w:id="1744452788">
          <w:marLeft w:val="0"/>
          <w:marRight w:val="0"/>
          <w:marTop w:val="0"/>
          <w:marBottom w:val="0"/>
          <w:divBdr>
            <w:top w:val="none" w:sz="0" w:space="0" w:color="auto"/>
            <w:left w:val="none" w:sz="0" w:space="0" w:color="auto"/>
            <w:bottom w:val="none" w:sz="0" w:space="0" w:color="auto"/>
            <w:right w:val="none" w:sz="0" w:space="0" w:color="auto"/>
          </w:divBdr>
        </w:div>
        <w:div w:id="1767069424">
          <w:marLeft w:val="0"/>
          <w:marRight w:val="0"/>
          <w:marTop w:val="0"/>
          <w:marBottom w:val="0"/>
          <w:divBdr>
            <w:top w:val="none" w:sz="0" w:space="0" w:color="auto"/>
            <w:left w:val="none" w:sz="0" w:space="0" w:color="auto"/>
            <w:bottom w:val="none" w:sz="0" w:space="0" w:color="auto"/>
            <w:right w:val="none" w:sz="0" w:space="0" w:color="auto"/>
          </w:divBdr>
        </w:div>
        <w:div w:id="1781535331">
          <w:marLeft w:val="0"/>
          <w:marRight w:val="0"/>
          <w:marTop w:val="0"/>
          <w:marBottom w:val="0"/>
          <w:divBdr>
            <w:top w:val="none" w:sz="0" w:space="0" w:color="auto"/>
            <w:left w:val="none" w:sz="0" w:space="0" w:color="auto"/>
            <w:bottom w:val="none" w:sz="0" w:space="0" w:color="auto"/>
            <w:right w:val="none" w:sz="0" w:space="0" w:color="auto"/>
          </w:divBdr>
        </w:div>
        <w:div w:id="1790125037">
          <w:marLeft w:val="0"/>
          <w:marRight w:val="0"/>
          <w:marTop w:val="0"/>
          <w:marBottom w:val="0"/>
          <w:divBdr>
            <w:top w:val="none" w:sz="0" w:space="0" w:color="auto"/>
            <w:left w:val="none" w:sz="0" w:space="0" w:color="auto"/>
            <w:bottom w:val="none" w:sz="0" w:space="0" w:color="auto"/>
            <w:right w:val="none" w:sz="0" w:space="0" w:color="auto"/>
          </w:divBdr>
        </w:div>
        <w:div w:id="1830901920">
          <w:marLeft w:val="0"/>
          <w:marRight w:val="0"/>
          <w:marTop w:val="0"/>
          <w:marBottom w:val="0"/>
          <w:divBdr>
            <w:top w:val="none" w:sz="0" w:space="0" w:color="auto"/>
            <w:left w:val="none" w:sz="0" w:space="0" w:color="auto"/>
            <w:bottom w:val="none" w:sz="0" w:space="0" w:color="auto"/>
            <w:right w:val="none" w:sz="0" w:space="0" w:color="auto"/>
          </w:divBdr>
        </w:div>
        <w:div w:id="1832528044">
          <w:marLeft w:val="0"/>
          <w:marRight w:val="0"/>
          <w:marTop w:val="0"/>
          <w:marBottom w:val="0"/>
          <w:divBdr>
            <w:top w:val="none" w:sz="0" w:space="0" w:color="auto"/>
            <w:left w:val="none" w:sz="0" w:space="0" w:color="auto"/>
            <w:bottom w:val="none" w:sz="0" w:space="0" w:color="auto"/>
            <w:right w:val="none" w:sz="0" w:space="0" w:color="auto"/>
          </w:divBdr>
        </w:div>
        <w:div w:id="1930968637">
          <w:marLeft w:val="0"/>
          <w:marRight w:val="0"/>
          <w:marTop w:val="0"/>
          <w:marBottom w:val="0"/>
          <w:divBdr>
            <w:top w:val="none" w:sz="0" w:space="0" w:color="auto"/>
            <w:left w:val="none" w:sz="0" w:space="0" w:color="auto"/>
            <w:bottom w:val="none" w:sz="0" w:space="0" w:color="auto"/>
            <w:right w:val="none" w:sz="0" w:space="0" w:color="auto"/>
          </w:divBdr>
        </w:div>
        <w:div w:id="1978560605">
          <w:marLeft w:val="0"/>
          <w:marRight w:val="0"/>
          <w:marTop w:val="0"/>
          <w:marBottom w:val="0"/>
          <w:divBdr>
            <w:top w:val="none" w:sz="0" w:space="0" w:color="auto"/>
            <w:left w:val="none" w:sz="0" w:space="0" w:color="auto"/>
            <w:bottom w:val="none" w:sz="0" w:space="0" w:color="auto"/>
            <w:right w:val="none" w:sz="0" w:space="0" w:color="auto"/>
          </w:divBdr>
        </w:div>
        <w:div w:id="1996302532">
          <w:marLeft w:val="0"/>
          <w:marRight w:val="0"/>
          <w:marTop w:val="0"/>
          <w:marBottom w:val="0"/>
          <w:divBdr>
            <w:top w:val="none" w:sz="0" w:space="0" w:color="auto"/>
            <w:left w:val="none" w:sz="0" w:space="0" w:color="auto"/>
            <w:bottom w:val="none" w:sz="0" w:space="0" w:color="auto"/>
            <w:right w:val="none" w:sz="0" w:space="0" w:color="auto"/>
          </w:divBdr>
        </w:div>
        <w:div w:id="2046252128">
          <w:marLeft w:val="0"/>
          <w:marRight w:val="0"/>
          <w:marTop w:val="0"/>
          <w:marBottom w:val="0"/>
          <w:divBdr>
            <w:top w:val="none" w:sz="0" w:space="0" w:color="auto"/>
            <w:left w:val="none" w:sz="0" w:space="0" w:color="auto"/>
            <w:bottom w:val="none" w:sz="0" w:space="0" w:color="auto"/>
            <w:right w:val="none" w:sz="0" w:space="0" w:color="auto"/>
          </w:divBdr>
        </w:div>
        <w:div w:id="2053382079">
          <w:marLeft w:val="0"/>
          <w:marRight w:val="0"/>
          <w:marTop w:val="0"/>
          <w:marBottom w:val="0"/>
          <w:divBdr>
            <w:top w:val="none" w:sz="0" w:space="0" w:color="auto"/>
            <w:left w:val="none" w:sz="0" w:space="0" w:color="auto"/>
            <w:bottom w:val="none" w:sz="0" w:space="0" w:color="auto"/>
            <w:right w:val="none" w:sz="0" w:space="0" w:color="auto"/>
          </w:divBdr>
        </w:div>
      </w:divsChild>
    </w:div>
    <w:div w:id="2135102397">
      <w:bodyDiv w:val="1"/>
      <w:marLeft w:val="0"/>
      <w:marRight w:val="0"/>
      <w:marTop w:val="0"/>
      <w:marBottom w:val="0"/>
      <w:divBdr>
        <w:top w:val="none" w:sz="0" w:space="0" w:color="auto"/>
        <w:left w:val="none" w:sz="0" w:space="0" w:color="auto"/>
        <w:bottom w:val="none" w:sz="0" w:space="0" w:color="auto"/>
        <w:right w:val="none" w:sz="0" w:space="0" w:color="auto"/>
      </w:divBdr>
    </w:div>
    <w:div w:id="2139106947">
      <w:bodyDiv w:val="1"/>
      <w:marLeft w:val="0"/>
      <w:marRight w:val="0"/>
      <w:marTop w:val="0"/>
      <w:marBottom w:val="0"/>
      <w:divBdr>
        <w:top w:val="none" w:sz="0" w:space="0" w:color="auto"/>
        <w:left w:val="none" w:sz="0" w:space="0" w:color="auto"/>
        <w:bottom w:val="none" w:sz="0" w:space="0" w:color="auto"/>
        <w:right w:val="none" w:sz="0" w:space="0" w:color="auto"/>
      </w:divBdr>
    </w:div>
    <w:div w:id="2140999516">
      <w:bodyDiv w:val="1"/>
      <w:marLeft w:val="0"/>
      <w:marRight w:val="0"/>
      <w:marTop w:val="0"/>
      <w:marBottom w:val="0"/>
      <w:divBdr>
        <w:top w:val="none" w:sz="0" w:space="0" w:color="auto"/>
        <w:left w:val="none" w:sz="0" w:space="0" w:color="auto"/>
        <w:bottom w:val="none" w:sz="0" w:space="0" w:color="auto"/>
        <w:right w:val="none" w:sz="0" w:space="0" w:color="auto"/>
      </w:divBdr>
    </w:div>
    <w:div w:id="2141071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AEE2D2-0D3C-4A02-80DD-432333492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70</Pages>
  <Words>17329</Words>
  <Characters>95310</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LEY DE INGRESOS DEL ESTADO DE TLAXCALA</vt:lpstr>
    </vt:vector>
  </TitlesOfParts>
  <Company>Hewlett-Packard Company</Company>
  <LinksUpToDate>false</LinksUpToDate>
  <CharactersWithSpaces>112415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DE INGRESOS DEL ESTADO DE TLAXCALA</dc:title>
  <dc:subject/>
  <dc:creator>ALFREDO AGUILAR TORRES</dc:creator>
  <cp:keywords/>
  <dc:description/>
  <cp:lastModifiedBy>Hugo Eder Monterrosas Diaz</cp:lastModifiedBy>
  <cp:revision>13</cp:revision>
  <cp:lastPrinted>2024-11-07T02:45:00Z</cp:lastPrinted>
  <dcterms:created xsi:type="dcterms:W3CDTF">2024-10-31T15:59:00Z</dcterms:created>
  <dcterms:modified xsi:type="dcterms:W3CDTF">2024-11-11T23:40:00Z</dcterms:modified>
</cp:coreProperties>
</file>